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18C5" w14:textId="5F4418BE" w:rsidR="00767849" w:rsidRPr="00E9608D" w:rsidRDefault="00545BCC" w:rsidP="00545BCC">
      <w:pPr>
        <w:pStyle w:val="NormalCenterHead"/>
        <w:pBdr>
          <w:bottom w:val="single" w:sz="4" w:space="0" w:color="auto"/>
        </w:pBdr>
        <w:spacing w:after="0"/>
        <w:rPr>
          <w:rFonts w:eastAsia="Times New Roman"/>
          <w:sz w:val="26"/>
          <w:szCs w:val="26"/>
        </w:rPr>
      </w:pPr>
      <w:r w:rsidRPr="00E9608D">
        <w:rPr>
          <w:rFonts w:eastAsia="Times New Roman"/>
          <w:i/>
          <w:iCs/>
          <w:sz w:val="26"/>
          <w:szCs w:val="26"/>
        </w:rPr>
        <w:t>Management</w:t>
      </w:r>
      <w:r w:rsidR="003A485D" w:rsidRPr="00E9608D">
        <w:rPr>
          <w:rFonts w:eastAsia="Times New Roman"/>
          <w:i/>
          <w:iCs/>
          <w:sz w:val="26"/>
          <w:szCs w:val="26"/>
        </w:rPr>
        <w:t xml:space="preserve"> </w:t>
      </w:r>
      <w:r w:rsidR="00767849" w:rsidRPr="00E9608D">
        <w:rPr>
          <w:rFonts w:eastAsia="Times New Roman"/>
          <w:i/>
          <w:iCs/>
          <w:sz w:val="26"/>
          <w:szCs w:val="26"/>
        </w:rPr>
        <w:t>Representation Letter</w:t>
      </w:r>
      <w:r w:rsidR="004D1435" w:rsidRPr="00E9608D">
        <w:rPr>
          <w:rFonts w:eastAsia="Times New Roman"/>
          <w:i/>
          <w:iCs/>
          <w:sz w:val="26"/>
          <w:szCs w:val="26"/>
        </w:rPr>
        <w:t xml:space="preserve"> </w:t>
      </w:r>
      <w:r w:rsidR="004213E2" w:rsidRPr="00E9608D">
        <w:rPr>
          <w:rFonts w:eastAsia="Times New Roman"/>
          <w:i/>
          <w:iCs/>
          <w:sz w:val="26"/>
          <w:szCs w:val="26"/>
        </w:rPr>
        <w:t>—</w:t>
      </w:r>
      <w:r w:rsidR="004D1435" w:rsidRPr="00E9608D">
        <w:rPr>
          <w:rFonts w:eastAsia="Times New Roman"/>
          <w:i/>
          <w:iCs/>
          <w:sz w:val="26"/>
          <w:szCs w:val="26"/>
        </w:rPr>
        <w:t xml:space="preserve"> </w:t>
      </w:r>
      <w:r w:rsidR="003A485D" w:rsidRPr="00E9608D">
        <w:rPr>
          <w:rFonts w:eastAsia="Times New Roman"/>
          <w:i/>
          <w:iCs/>
          <w:sz w:val="26"/>
          <w:szCs w:val="26"/>
        </w:rPr>
        <w:t xml:space="preserve">Filing of </w:t>
      </w:r>
      <w:r w:rsidR="007E7A33" w:rsidRPr="00E9608D">
        <w:rPr>
          <w:rFonts w:eastAsia="Times New Roman"/>
          <w:i/>
          <w:iCs/>
          <w:sz w:val="26"/>
          <w:szCs w:val="26"/>
        </w:rPr>
        <w:t xml:space="preserve">Initial </w:t>
      </w:r>
      <w:r w:rsidRPr="00E9608D">
        <w:rPr>
          <w:rFonts w:eastAsia="Times New Roman"/>
          <w:i/>
          <w:iCs/>
          <w:sz w:val="26"/>
          <w:szCs w:val="26"/>
        </w:rPr>
        <w:t>BOI</w:t>
      </w:r>
      <w:r w:rsidR="003A485D" w:rsidRPr="00E9608D">
        <w:rPr>
          <w:rFonts w:eastAsia="Times New Roman"/>
          <w:i/>
          <w:iCs/>
          <w:sz w:val="26"/>
          <w:szCs w:val="26"/>
        </w:rPr>
        <w:t xml:space="preserve"> Report </w:t>
      </w:r>
    </w:p>
    <w:p w14:paraId="78447864" w14:textId="77777777" w:rsidR="00F136D6" w:rsidRDefault="00F136D6" w:rsidP="00F136D6">
      <w:pPr>
        <w:pStyle w:val="BodyText"/>
        <w:tabs>
          <w:tab w:val="left" w:pos="720"/>
        </w:tabs>
        <w:spacing w:after="0"/>
        <w:jc w:val="both"/>
        <w:rPr>
          <w:b/>
          <w:bCs/>
        </w:rPr>
      </w:pPr>
    </w:p>
    <w:p w14:paraId="1550EF76" w14:textId="064D940C" w:rsidR="00861D22" w:rsidRPr="00F136D6" w:rsidRDefault="00205855" w:rsidP="00F136D6">
      <w:pPr>
        <w:pStyle w:val="BodyText"/>
        <w:tabs>
          <w:tab w:val="left" w:pos="720"/>
        </w:tabs>
        <w:spacing w:after="0"/>
        <w:jc w:val="both"/>
        <w:rPr>
          <w:b/>
          <w:bCs/>
        </w:rPr>
      </w:pPr>
      <w:r w:rsidRPr="00DF1093">
        <w:rPr>
          <w:b/>
          <w:bCs/>
        </w:rPr>
        <w:t xml:space="preserve">[Note: </w:t>
      </w:r>
      <w:r w:rsidRPr="00F136D6">
        <w:rPr>
          <w:b/>
          <w:bCs/>
        </w:rPr>
        <w:t xml:space="preserve">CAMICO has created this </w:t>
      </w:r>
      <w:r w:rsidRPr="00F136D6">
        <w:rPr>
          <w:b/>
          <w:bCs/>
          <w:i/>
          <w:iCs/>
        </w:rPr>
        <w:t>Management Representation Letter — Filing of Initial BOI Report</w:t>
      </w:r>
      <w:r w:rsidRPr="00F136D6">
        <w:rPr>
          <w:i/>
          <w:iCs/>
        </w:rPr>
        <w:t xml:space="preserve"> </w:t>
      </w:r>
      <w:r w:rsidRPr="00F136D6">
        <w:rPr>
          <w:b/>
          <w:bCs/>
        </w:rPr>
        <w:t xml:space="preserve">template for illustrative purposes only. </w:t>
      </w:r>
      <w:r w:rsidR="00F136D6">
        <w:rPr>
          <w:b/>
          <w:bCs/>
        </w:rPr>
        <w:t>Given the potential risks associated with rendering CTA-related services, CAMICO believes it</w:t>
      </w:r>
      <w:r w:rsidR="00F136D6" w:rsidRPr="00F136D6">
        <w:rPr>
          <w:b/>
          <w:bCs/>
        </w:rPr>
        <w:t xml:space="preserve"> prudent to </w:t>
      </w:r>
      <w:r w:rsidR="00F136D6">
        <w:rPr>
          <w:b/>
          <w:bCs/>
        </w:rPr>
        <w:t xml:space="preserve">have clients execute </w:t>
      </w:r>
      <w:r w:rsidR="00776E29" w:rsidRPr="00776E29">
        <w:rPr>
          <w:b/>
          <w:bCs/>
        </w:rPr>
        <w:t xml:space="preserve">a </w:t>
      </w:r>
      <w:r w:rsidR="00776E29" w:rsidRPr="00450E5C">
        <w:rPr>
          <w:b/>
          <w:bCs/>
        </w:rPr>
        <w:t>management</w:t>
      </w:r>
      <w:r w:rsidR="00F136D6" w:rsidRPr="00F136D6">
        <w:rPr>
          <w:b/>
          <w:bCs/>
        </w:rPr>
        <w:t xml:space="preserve"> representation letter </w:t>
      </w:r>
      <w:r w:rsidR="00F136D6">
        <w:rPr>
          <w:b/>
          <w:bCs/>
        </w:rPr>
        <w:t>in addition to an engagement letter to provide</w:t>
      </w:r>
      <w:r w:rsidR="00F136D6" w:rsidRPr="00F136D6">
        <w:rPr>
          <w:b/>
          <w:bCs/>
        </w:rPr>
        <w:t xml:space="preserve"> additional defensive documentation and evidence of the client’s understanding and acceptance of their responsibilities with respect to </w:t>
      </w:r>
      <w:r w:rsidR="00F136D6">
        <w:rPr>
          <w:b/>
          <w:bCs/>
        </w:rPr>
        <w:t>the engagement</w:t>
      </w:r>
      <w:r w:rsidR="00F136D6" w:rsidRPr="00F136D6">
        <w:rPr>
          <w:b/>
          <w:bCs/>
        </w:rPr>
        <w:t xml:space="preserve"> and the limitations of the services the CPA is providing.</w:t>
      </w:r>
      <w:r w:rsidR="00861D22" w:rsidRPr="00F136D6">
        <w:rPr>
          <w:b/>
          <w:bCs/>
        </w:rPr>
        <w:t xml:space="preserve"> CAMICO recommends that </w:t>
      </w:r>
      <w:r w:rsidR="00F136D6">
        <w:rPr>
          <w:b/>
          <w:bCs/>
        </w:rPr>
        <w:t xml:space="preserve">a </w:t>
      </w:r>
      <w:r w:rsidR="00861D22" w:rsidRPr="00F136D6">
        <w:rPr>
          <w:b/>
          <w:bCs/>
        </w:rPr>
        <w:t xml:space="preserve">firm tailor this template, as appropriate, </w:t>
      </w:r>
      <w:r w:rsidR="00A256E4" w:rsidRPr="00F136D6">
        <w:rPr>
          <w:b/>
          <w:bCs/>
        </w:rPr>
        <w:t>to ensure that the</w:t>
      </w:r>
      <w:r w:rsidR="00776E29">
        <w:rPr>
          <w:b/>
          <w:bCs/>
        </w:rPr>
        <w:t xml:space="preserve"> services described, as well as the</w:t>
      </w:r>
      <w:r w:rsidR="00A256E4" w:rsidRPr="00F136D6">
        <w:rPr>
          <w:b/>
          <w:bCs/>
        </w:rPr>
        <w:t xml:space="preserve"> client’s representations </w:t>
      </w:r>
      <w:r w:rsidR="008C1CB3" w:rsidRPr="00F136D6">
        <w:rPr>
          <w:b/>
          <w:bCs/>
        </w:rPr>
        <w:t>and responsibilities a</w:t>
      </w:r>
      <w:r w:rsidR="00A256E4" w:rsidRPr="00F136D6">
        <w:rPr>
          <w:b/>
          <w:bCs/>
        </w:rPr>
        <w:t xml:space="preserve">re consistent with the </w:t>
      </w:r>
      <w:r w:rsidR="00776E29">
        <w:rPr>
          <w:b/>
          <w:bCs/>
        </w:rPr>
        <w:t>terms and conditions of</w:t>
      </w:r>
      <w:r w:rsidR="00E25835" w:rsidRPr="00F136D6">
        <w:rPr>
          <w:b/>
          <w:bCs/>
        </w:rPr>
        <w:t xml:space="preserve"> the </w:t>
      </w:r>
      <w:r w:rsidR="00A256E4" w:rsidRPr="00F136D6">
        <w:rPr>
          <w:b/>
          <w:bCs/>
        </w:rPr>
        <w:t>engagement</w:t>
      </w:r>
      <w:r w:rsidR="00861D22" w:rsidRPr="00F136D6">
        <w:rPr>
          <w:b/>
          <w:bCs/>
        </w:rPr>
        <w:t>.</w:t>
      </w:r>
      <w:r w:rsidR="00E25835" w:rsidRPr="00F136D6">
        <w:rPr>
          <w:b/>
          <w:bCs/>
        </w:rPr>
        <w:t>]</w:t>
      </w:r>
    </w:p>
    <w:p w14:paraId="2A11111D" w14:textId="0666156F" w:rsidR="00767849" w:rsidRDefault="00767849" w:rsidP="00767849">
      <w:pPr>
        <w:pStyle w:val="Continuedpara"/>
        <w:spacing w:before="100" w:beforeAutospacing="1" w:after="100" w:afterAutospacing="1"/>
      </w:pPr>
      <w:r w:rsidRPr="00A26ED3">
        <w:t>&lt;Date&gt;</w:t>
      </w:r>
    </w:p>
    <w:p w14:paraId="6BCA4D50" w14:textId="77777777" w:rsidR="00767849" w:rsidRDefault="00767849" w:rsidP="002A0C6B">
      <w:pPr>
        <w:pStyle w:val="Continuedpara"/>
        <w:spacing w:after="0"/>
      </w:pPr>
      <w:r w:rsidRPr="00A26ED3">
        <w:t>&lt;Accountant Name&gt;</w:t>
      </w:r>
    </w:p>
    <w:p w14:paraId="4B04F6B7" w14:textId="77777777" w:rsidR="00767849" w:rsidRDefault="00767849" w:rsidP="002A0C6B">
      <w:pPr>
        <w:pStyle w:val="Continuedpara"/>
        <w:spacing w:after="0"/>
      </w:pPr>
      <w:r w:rsidRPr="00A26ED3">
        <w:t>&lt;Firm Name&gt;</w:t>
      </w:r>
    </w:p>
    <w:p w14:paraId="18799FAD" w14:textId="77777777" w:rsidR="00767849" w:rsidRPr="00A26ED3" w:rsidRDefault="00767849" w:rsidP="002A0C6B">
      <w:pPr>
        <w:pStyle w:val="Continuedpara"/>
        <w:spacing w:after="0"/>
      </w:pPr>
      <w:r w:rsidRPr="00A26ED3">
        <w:t>&lt;Firm Address&gt;</w:t>
      </w:r>
    </w:p>
    <w:p w14:paraId="0CEF777C" w14:textId="77777777" w:rsidR="00767849" w:rsidRPr="00A26ED3" w:rsidRDefault="00767849" w:rsidP="00767849">
      <w:pPr>
        <w:pStyle w:val="Continuedpara"/>
        <w:spacing w:before="100" w:beforeAutospacing="1" w:after="100" w:afterAutospacing="1"/>
      </w:pPr>
      <w:r w:rsidRPr="00A26ED3">
        <w:t>Dear &lt;Accountant&gt;:</w:t>
      </w:r>
    </w:p>
    <w:p w14:paraId="6DE64150" w14:textId="50BE4E77" w:rsidR="00287B53" w:rsidRDefault="0097684F" w:rsidP="00E56C17">
      <w:pPr>
        <w:pStyle w:val="Continuedpara"/>
        <w:spacing w:after="0"/>
      </w:pPr>
      <w:r>
        <w:t>Th</w:t>
      </w:r>
      <w:r w:rsidR="00834CE8">
        <w:t>is</w:t>
      </w:r>
      <w:r>
        <w:t xml:space="preserve"> representation letter is provide</w:t>
      </w:r>
      <w:r w:rsidR="00344083">
        <w:t>d</w:t>
      </w:r>
      <w:r>
        <w:t xml:space="preserve"> to </w:t>
      </w:r>
      <w:bookmarkStart w:id="0" w:name="_Hlk129256581"/>
      <w:r>
        <w:t xml:space="preserve">&lt;Firm&gt; (“Firm”) </w:t>
      </w:r>
      <w:r w:rsidR="00287B53">
        <w:t xml:space="preserve">in connection with </w:t>
      </w:r>
      <w:r w:rsidR="00344083">
        <w:t>the</w:t>
      </w:r>
      <w:r w:rsidR="00287B53">
        <w:t xml:space="preserve"> preparation </w:t>
      </w:r>
      <w:r w:rsidR="003A485D">
        <w:t xml:space="preserve">and filing of the initial </w:t>
      </w:r>
      <w:r w:rsidR="003A485D" w:rsidRPr="003A485D">
        <w:rPr>
          <w:i/>
          <w:iCs/>
        </w:rPr>
        <w:t xml:space="preserve">Beneficial Owner Information </w:t>
      </w:r>
      <w:r w:rsidR="003A485D">
        <w:t>(“BOI”)</w:t>
      </w:r>
      <w:r w:rsidR="00916BE0">
        <w:t xml:space="preserve"> </w:t>
      </w:r>
      <w:r w:rsidR="003656A0">
        <w:t>r</w:t>
      </w:r>
      <w:r w:rsidR="00916BE0" w:rsidRPr="003656A0">
        <w:t>eport</w:t>
      </w:r>
      <w:r w:rsidR="003A485D">
        <w:t xml:space="preserve"> for </w:t>
      </w:r>
      <w:r w:rsidR="00287B53">
        <w:t xml:space="preserve">&lt;Client&gt; </w:t>
      </w:r>
      <w:r>
        <w:t>(herein referred to as “Management</w:t>
      </w:r>
      <w:r w:rsidR="004213E2">
        <w:t>,</w:t>
      </w:r>
      <w:r>
        <w:t>” “we</w:t>
      </w:r>
      <w:r w:rsidR="004213E2">
        <w:t>,</w:t>
      </w:r>
      <w:r>
        <w:t>” “our</w:t>
      </w:r>
      <w:r w:rsidR="004213E2">
        <w:t>,</w:t>
      </w:r>
      <w:r>
        <w:t>”</w:t>
      </w:r>
      <w:r w:rsidR="004213E2">
        <w:t xml:space="preserve"> or</w:t>
      </w:r>
      <w:r w:rsidR="00F7368C">
        <w:t xml:space="preserve"> “us”</w:t>
      </w:r>
      <w:r>
        <w:t>)</w:t>
      </w:r>
      <w:bookmarkEnd w:id="0"/>
      <w:r w:rsidR="003A485D">
        <w:t xml:space="preserve"> to </w:t>
      </w:r>
      <w:r w:rsidR="00916BE0">
        <w:t xml:space="preserve">the </w:t>
      </w:r>
      <w:r w:rsidR="00916BE0" w:rsidRPr="006A04DC">
        <w:t>Financial Crimes Enforcement Network (“FinCEN”)</w:t>
      </w:r>
      <w:r w:rsidR="00916BE0">
        <w:t xml:space="preserve"> </w:t>
      </w:r>
      <w:r w:rsidR="003A485D">
        <w:t>as required by the Corporate Transparency Act</w:t>
      </w:r>
      <w:r w:rsidR="00396E86">
        <w:t xml:space="preserve"> </w:t>
      </w:r>
      <w:r w:rsidR="00396E86" w:rsidRPr="006A04DC">
        <w:t>(“CTA”)</w:t>
      </w:r>
      <w:r w:rsidR="00287B53">
        <w:t xml:space="preserve">. </w:t>
      </w:r>
    </w:p>
    <w:p w14:paraId="66CD0657" w14:textId="77777777" w:rsidR="00287B53" w:rsidRDefault="00287B53" w:rsidP="00E56C17">
      <w:pPr>
        <w:pStyle w:val="Continuedpara"/>
        <w:spacing w:after="0"/>
        <w:ind w:left="720"/>
      </w:pPr>
    </w:p>
    <w:p w14:paraId="35649339" w14:textId="48BBC09E" w:rsidR="00287B53" w:rsidRDefault="0097684F" w:rsidP="00E56C17">
      <w:pPr>
        <w:pStyle w:val="Continuedpara"/>
        <w:spacing w:after="0"/>
      </w:pPr>
      <w:r>
        <w:t>To</w:t>
      </w:r>
      <w:r w:rsidR="00287B53">
        <w:t xml:space="preserve"> the best of </w:t>
      </w:r>
      <w:r>
        <w:t>our</w:t>
      </w:r>
      <w:r w:rsidR="00287B53">
        <w:t xml:space="preserve"> knowledge and belief, </w:t>
      </w:r>
      <w:r w:rsidR="00F7368C">
        <w:t>M</w:t>
      </w:r>
      <w:r>
        <w:t xml:space="preserve">anagement confirms </w:t>
      </w:r>
      <w:r w:rsidR="00287B53">
        <w:t>the following representations:</w:t>
      </w:r>
    </w:p>
    <w:p w14:paraId="3259CDCF" w14:textId="77777777" w:rsidR="00287B53" w:rsidRDefault="00287B53" w:rsidP="00E56C17">
      <w:pPr>
        <w:pStyle w:val="Continuedpara"/>
        <w:spacing w:after="0"/>
        <w:ind w:left="720"/>
      </w:pPr>
    </w:p>
    <w:p w14:paraId="3CE89715" w14:textId="4D3ACEC7" w:rsidR="00713D53" w:rsidRPr="00AE15E0" w:rsidRDefault="001315F9" w:rsidP="00287B53">
      <w:pPr>
        <w:pStyle w:val="Continuedpara"/>
        <w:numPr>
          <w:ilvl w:val="0"/>
          <w:numId w:val="4"/>
        </w:numPr>
        <w:spacing w:after="0"/>
      </w:pPr>
      <w:r w:rsidRPr="00AE15E0">
        <w:t xml:space="preserve">Management </w:t>
      </w:r>
      <w:r w:rsidR="00287B53" w:rsidRPr="00AE15E0">
        <w:t>understand</w:t>
      </w:r>
      <w:r w:rsidRPr="00AE15E0">
        <w:t>s</w:t>
      </w:r>
      <w:r w:rsidR="00287B53" w:rsidRPr="00AE15E0">
        <w:t xml:space="preserve"> and acknowledge</w:t>
      </w:r>
      <w:r w:rsidRPr="00AE15E0">
        <w:t>s</w:t>
      </w:r>
      <w:r w:rsidR="00287B53" w:rsidRPr="00AE15E0">
        <w:t xml:space="preserve"> </w:t>
      </w:r>
      <w:r w:rsidR="00396E86" w:rsidRPr="00AE15E0">
        <w:t xml:space="preserve">that </w:t>
      </w:r>
      <w:r w:rsidR="00287B53" w:rsidRPr="00AE15E0">
        <w:t>Firm</w:t>
      </w:r>
      <w:r w:rsidR="0000395E" w:rsidRPr="00AE15E0">
        <w:t>’s engagement is limited</w:t>
      </w:r>
      <w:r w:rsidR="00737753" w:rsidRPr="00AE15E0">
        <w:t xml:space="preserve"> solely</w:t>
      </w:r>
      <w:r w:rsidR="0000395E" w:rsidRPr="00AE15E0">
        <w:t xml:space="preserve"> </w:t>
      </w:r>
      <w:r w:rsidR="00F254BC" w:rsidRPr="00AE15E0">
        <w:t>to</w:t>
      </w:r>
      <w:r w:rsidR="00344083" w:rsidRPr="00AE15E0">
        <w:t xml:space="preserve"> </w:t>
      </w:r>
      <w:r w:rsidR="00713D53" w:rsidRPr="00AE15E0">
        <w:t xml:space="preserve">providing </w:t>
      </w:r>
      <w:r w:rsidR="008A3B7D">
        <w:t>&lt;</w:t>
      </w:r>
      <w:r w:rsidR="00713D53" w:rsidRPr="00AE15E0">
        <w:t>administrative assist</w:t>
      </w:r>
      <w:r w:rsidR="00853047" w:rsidRPr="00AE15E0">
        <w:t>ance</w:t>
      </w:r>
      <w:r w:rsidR="00713D53" w:rsidRPr="00AE15E0">
        <w:t xml:space="preserve"> </w:t>
      </w:r>
      <w:r w:rsidR="008A3B7D">
        <w:t>/ limited advisory services&gt;</w:t>
      </w:r>
      <w:r w:rsidR="00734710">
        <w:rPr>
          <w:rStyle w:val="FootnoteReference"/>
        </w:rPr>
        <w:footnoteReference w:id="1"/>
      </w:r>
      <w:r w:rsidR="008A3B7D">
        <w:t xml:space="preserve"> </w:t>
      </w:r>
      <w:r w:rsidR="00713D53" w:rsidRPr="00AE15E0">
        <w:t>to our company</w:t>
      </w:r>
      <w:r w:rsidR="00396E86" w:rsidRPr="00AE15E0">
        <w:t xml:space="preserve"> for the</w:t>
      </w:r>
      <w:r w:rsidR="00D20D47">
        <w:t xml:space="preserve"> preparation and</w:t>
      </w:r>
      <w:r w:rsidR="00396E86" w:rsidRPr="00AE15E0">
        <w:t xml:space="preserve"> submission of our</w:t>
      </w:r>
      <w:r w:rsidR="00713D53" w:rsidRPr="00AE15E0">
        <w:t xml:space="preserve"> initial BOI report to </w:t>
      </w:r>
      <w:r w:rsidR="00396E86" w:rsidRPr="00AE15E0">
        <w:t>FinCEN as</w:t>
      </w:r>
      <w:r w:rsidR="00713D53" w:rsidRPr="00AE15E0">
        <w:t xml:space="preserve"> required under the </w:t>
      </w:r>
      <w:r w:rsidR="00396E86" w:rsidRPr="00AE15E0">
        <w:t>CTA</w:t>
      </w:r>
      <w:r w:rsidR="00713D53" w:rsidRPr="00AE15E0">
        <w:t xml:space="preserve">. </w:t>
      </w:r>
    </w:p>
    <w:p w14:paraId="0A1FC295" w14:textId="77777777" w:rsidR="00713D53" w:rsidRPr="00AE15E0" w:rsidRDefault="00713D53" w:rsidP="00713D53">
      <w:pPr>
        <w:pStyle w:val="Continuedpara"/>
        <w:spacing w:after="0"/>
        <w:ind w:left="720"/>
      </w:pPr>
    </w:p>
    <w:p w14:paraId="547E6979" w14:textId="143A750C" w:rsidR="00AE15E0" w:rsidRDefault="00713D53" w:rsidP="00AE15E0">
      <w:pPr>
        <w:pStyle w:val="Continuedpara"/>
        <w:numPr>
          <w:ilvl w:val="0"/>
          <w:numId w:val="4"/>
        </w:numPr>
        <w:spacing w:after="0"/>
        <w:rPr>
          <w:szCs w:val="24"/>
        </w:rPr>
      </w:pPr>
      <w:r w:rsidRPr="00AE15E0">
        <w:t>Management u</w:t>
      </w:r>
      <w:r w:rsidR="00344083" w:rsidRPr="00AE15E0">
        <w:t>nderstand</w:t>
      </w:r>
      <w:r w:rsidR="00737753" w:rsidRPr="00AE15E0">
        <w:t>s</w:t>
      </w:r>
      <w:r w:rsidR="00344083" w:rsidRPr="00AE15E0">
        <w:t xml:space="preserve"> t</w:t>
      </w:r>
      <w:r w:rsidR="009875B7" w:rsidRPr="00AE15E0">
        <w:t xml:space="preserve">hat </w:t>
      </w:r>
      <w:r w:rsidR="0000395E" w:rsidRPr="00AE15E0">
        <w:t>Firm</w:t>
      </w:r>
      <w:r w:rsidR="00D20D47">
        <w:t xml:space="preserve">’s </w:t>
      </w:r>
      <w:r w:rsidR="000A7C16">
        <w:t xml:space="preserve">limited </w:t>
      </w:r>
      <w:r w:rsidR="00D20D47">
        <w:t>services</w:t>
      </w:r>
      <w:r w:rsidR="00737753" w:rsidRPr="00AE15E0">
        <w:rPr>
          <w:szCs w:val="24"/>
        </w:rPr>
        <w:t xml:space="preserve"> </w:t>
      </w:r>
      <w:r w:rsidR="000A7C16">
        <w:rPr>
          <w:szCs w:val="24"/>
        </w:rPr>
        <w:t>do</w:t>
      </w:r>
      <w:r w:rsidR="00CB1D73" w:rsidRPr="00AE15E0">
        <w:rPr>
          <w:szCs w:val="24"/>
        </w:rPr>
        <w:t xml:space="preserve"> not include</w:t>
      </w:r>
      <w:r w:rsidR="00737753" w:rsidRPr="00AE15E0">
        <w:rPr>
          <w:szCs w:val="24"/>
        </w:rPr>
        <w:t xml:space="preserve"> </w:t>
      </w:r>
      <w:r w:rsidR="007D2496" w:rsidRPr="00AE15E0">
        <w:rPr>
          <w:szCs w:val="24"/>
        </w:rPr>
        <w:t xml:space="preserve">providing legal advice with respect to </w:t>
      </w:r>
      <w:r w:rsidR="007D2496" w:rsidRPr="00AE15E0">
        <w:rPr>
          <w:rFonts w:cstheme="minorHAnsi"/>
          <w:szCs w:val="24"/>
        </w:rPr>
        <w:t xml:space="preserve">determining if an exemption applies to our company or whether any relationships constitute “beneficial ownership.” </w:t>
      </w:r>
      <w:r w:rsidR="007D2496" w:rsidRPr="00AE15E0">
        <w:rPr>
          <w:szCs w:val="24"/>
        </w:rPr>
        <w:t>As such</w:t>
      </w:r>
      <w:r w:rsidR="00737753" w:rsidRPr="00AE15E0">
        <w:rPr>
          <w:szCs w:val="24"/>
        </w:rPr>
        <w:t>,</w:t>
      </w:r>
      <w:r w:rsidR="007D2496" w:rsidRPr="00AE15E0">
        <w:rPr>
          <w:szCs w:val="24"/>
        </w:rPr>
        <w:t xml:space="preserve"> Management understands that</w:t>
      </w:r>
      <w:r w:rsidR="00737753" w:rsidRPr="00AE15E0">
        <w:rPr>
          <w:szCs w:val="24"/>
        </w:rPr>
        <w:t xml:space="preserve"> </w:t>
      </w:r>
      <w:r w:rsidR="001D6F24" w:rsidRPr="00AE15E0">
        <w:rPr>
          <w:szCs w:val="24"/>
        </w:rPr>
        <w:t xml:space="preserve">the Firm </w:t>
      </w:r>
      <w:r w:rsidR="00737753" w:rsidRPr="00AE15E0">
        <w:rPr>
          <w:szCs w:val="24"/>
        </w:rPr>
        <w:t>will</w:t>
      </w:r>
      <w:r w:rsidR="00287B53" w:rsidRPr="00AE15E0">
        <w:t xml:space="preserve"> not </w:t>
      </w:r>
      <w:r w:rsidR="007D2496" w:rsidRPr="00AE15E0">
        <w:t xml:space="preserve">be </w:t>
      </w:r>
      <w:r w:rsidR="001D6F24" w:rsidRPr="00AE15E0">
        <w:t>responsible for c</w:t>
      </w:r>
      <w:r w:rsidR="00287B53" w:rsidRPr="00AE15E0">
        <w:t xml:space="preserve">ertifying </w:t>
      </w:r>
      <w:r w:rsidR="0000395E" w:rsidRPr="00AE15E0">
        <w:t>or opining on</w:t>
      </w:r>
      <w:r w:rsidR="00F77F93" w:rsidRPr="00AE15E0">
        <w:t xml:space="preserve"> our company’s </w:t>
      </w:r>
      <w:r w:rsidRPr="00AE15E0">
        <w:t>compliance with CTA</w:t>
      </w:r>
      <w:r w:rsidR="00F77F93" w:rsidRPr="00AE15E0">
        <w:t>.</w:t>
      </w:r>
      <w:r w:rsidR="00287B53" w:rsidRPr="00AE15E0">
        <w:t xml:space="preserve"> </w:t>
      </w:r>
      <w:r w:rsidR="00AE15E0" w:rsidRPr="00AE15E0">
        <w:rPr>
          <w:szCs w:val="24"/>
        </w:rPr>
        <w:t xml:space="preserve">Management </w:t>
      </w:r>
      <w:r w:rsidR="00AE15E0">
        <w:rPr>
          <w:szCs w:val="24"/>
        </w:rPr>
        <w:t>accepts full responsibility to</w:t>
      </w:r>
      <w:r w:rsidR="00AE15E0" w:rsidRPr="00AE15E0">
        <w:rPr>
          <w:szCs w:val="24"/>
        </w:rPr>
        <w:t xml:space="preserve"> engage separate legal counsel to assist in addressing any legal issues that may arise.</w:t>
      </w:r>
    </w:p>
    <w:p w14:paraId="01C6C471" w14:textId="77777777" w:rsidR="000A7C16" w:rsidRPr="00AE15E0" w:rsidRDefault="000A7C16" w:rsidP="000A7C16">
      <w:pPr>
        <w:pStyle w:val="Continuedpara"/>
        <w:spacing w:after="0"/>
        <w:rPr>
          <w:szCs w:val="24"/>
        </w:rPr>
      </w:pPr>
    </w:p>
    <w:p w14:paraId="29D01BE5" w14:textId="151B7701" w:rsidR="00287B53" w:rsidRDefault="009B56D2" w:rsidP="009B56D2">
      <w:pPr>
        <w:pStyle w:val="Continuedpara"/>
        <w:numPr>
          <w:ilvl w:val="0"/>
          <w:numId w:val="4"/>
        </w:numPr>
        <w:spacing w:after="0"/>
      </w:pPr>
      <w:r>
        <w:t xml:space="preserve">Management has made available to Firm all the </w:t>
      </w:r>
      <w:r w:rsidR="009776B0">
        <w:t>required information and documentation</w:t>
      </w:r>
      <w:r>
        <w:t xml:space="preserve"> </w:t>
      </w:r>
      <w:r w:rsidR="009776B0">
        <w:t xml:space="preserve">necessary under applicable CTA regulations for </w:t>
      </w:r>
      <w:r w:rsidR="005576C3">
        <w:t>the company</w:t>
      </w:r>
      <w:r w:rsidR="00D20D47">
        <w:t>, our</w:t>
      </w:r>
      <w:r w:rsidR="009776B0">
        <w:t xml:space="preserve"> beneficial owners</w:t>
      </w:r>
      <w:r w:rsidR="007E7A33">
        <w:t>,</w:t>
      </w:r>
      <w:r w:rsidR="00D20D47">
        <w:t xml:space="preserve"> and i</w:t>
      </w:r>
      <w:r w:rsidR="006445C3">
        <w:t>f applicable</w:t>
      </w:r>
      <w:r w:rsidR="00D20D47">
        <w:t xml:space="preserve">, </w:t>
      </w:r>
      <w:r w:rsidR="007C139E">
        <w:t xml:space="preserve">any </w:t>
      </w:r>
      <w:r w:rsidR="009776B0">
        <w:t>company applicant</w:t>
      </w:r>
      <w:r w:rsidR="005576C3">
        <w:t>(s).</w:t>
      </w:r>
    </w:p>
    <w:p w14:paraId="313144B3" w14:textId="77777777" w:rsidR="000A7C16" w:rsidRDefault="000A7C16" w:rsidP="000A7C16">
      <w:pPr>
        <w:pStyle w:val="Continuedpara"/>
        <w:spacing w:after="0"/>
      </w:pPr>
    </w:p>
    <w:p w14:paraId="2EA0C1F1" w14:textId="7A7EE201" w:rsidR="003656A0" w:rsidRDefault="002A3299" w:rsidP="002516D6">
      <w:pPr>
        <w:pStyle w:val="Continuedpara"/>
        <w:numPr>
          <w:ilvl w:val="0"/>
          <w:numId w:val="4"/>
        </w:numPr>
        <w:spacing w:after="0"/>
      </w:pPr>
      <w:r w:rsidRPr="007C4E45">
        <w:rPr>
          <w:szCs w:val="24"/>
        </w:rPr>
        <w:lastRenderedPageBreak/>
        <w:t xml:space="preserve">Management acknowledges and understands that Firm will not be responsible for providing any further services related to our company’s ongoing requirement to update and/or correct </w:t>
      </w:r>
      <w:r w:rsidR="00EC7FC5">
        <w:rPr>
          <w:szCs w:val="24"/>
        </w:rPr>
        <w:t xml:space="preserve">BOI </w:t>
      </w:r>
      <w:r w:rsidRPr="007C4E45">
        <w:rPr>
          <w:szCs w:val="24"/>
        </w:rPr>
        <w:t>reports with FinCEN. M</w:t>
      </w:r>
      <w:r w:rsidRPr="007C4E45">
        <w:rPr>
          <w:rFonts w:eastAsia="Times New Roman"/>
          <w:color w:val="212529"/>
        </w:rPr>
        <w:t xml:space="preserve">anagement accepts full responsibility </w:t>
      </w:r>
      <w:r w:rsidR="007C4E45" w:rsidRPr="00CA6426">
        <w:rPr>
          <w:rFonts w:eastAsia="Times New Roman"/>
          <w:color w:val="212529"/>
        </w:rPr>
        <w:t xml:space="preserve">for monitoring all reportable changes for </w:t>
      </w:r>
      <w:r w:rsidR="007C4E45">
        <w:rPr>
          <w:rFonts w:eastAsia="Times New Roman"/>
          <w:color w:val="212529"/>
        </w:rPr>
        <w:t>our</w:t>
      </w:r>
      <w:r w:rsidR="007C4E45" w:rsidRPr="00CA6426">
        <w:t xml:space="preserve"> company and </w:t>
      </w:r>
      <w:r w:rsidR="007C4E45">
        <w:t>our</w:t>
      </w:r>
      <w:r w:rsidR="007C4E45" w:rsidRPr="00CA6426">
        <w:t xml:space="preserve"> beneficial owners (e.g., a change in beneficial owners</w:t>
      </w:r>
      <w:r w:rsidR="007E7A33">
        <w:t>;</w:t>
      </w:r>
      <w:r w:rsidR="007E7A33" w:rsidRPr="00CA6426">
        <w:t xml:space="preserve"> </w:t>
      </w:r>
      <w:r w:rsidR="007C4E45" w:rsidRPr="00CA6426">
        <w:t>any change to a beneficial owner’s name, address, or unique identifying number</w:t>
      </w:r>
      <w:r w:rsidR="007E7A33">
        <w:t>;</w:t>
      </w:r>
      <w:r w:rsidR="007E7A33" w:rsidRPr="00CA6426">
        <w:t xml:space="preserve"> </w:t>
      </w:r>
      <w:r w:rsidR="007C4E45" w:rsidRPr="00CA6426">
        <w:t>or any other information previously provided to FinCEN) and for ensuring that such changes are timely reported to FinCEN.</w:t>
      </w:r>
    </w:p>
    <w:p w14:paraId="1D88EBB8" w14:textId="77777777" w:rsidR="007C4E45" w:rsidRDefault="007C4E45" w:rsidP="007C4E45">
      <w:pPr>
        <w:pStyle w:val="Continuedpara"/>
        <w:spacing w:after="0"/>
      </w:pPr>
    </w:p>
    <w:p w14:paraId="19EB5851" w14:textId="6E59B338" w:rsidR="003656A0" w:rsidRDefault="003656A0" w:rsidP="00B236DF">
      <w:pPr>
        <w:pStyle w:val="Continuedpara"/>
        <w:numPr>
          <w:ilvl w:val="0"/>
          <w:numId w:val="4"/>
        </w:numPr>
        <w:spacing w:after="0"/>
      </w:pPr>
      <w:r>
        <w:t xml:space="preserve">Management agrees to notify Firm in writing </w:t>
      </w:r>
      <w:r w:rsidRPr="003656A0">
        <w:rPr>
          <w:color w:val="000000"/>
          <w:szCs w:val="24"/>
          <w:shd w:val="clear" w:color="auto" w:fill="FFFFFF"/>
        </w:rPr>
        <w:t>at least fifteen (15) business</w:t>
      </w:r>
      <w:r w:rsidRPr="00BC195B">
        <w:rPr>
          <w:b/>
          <w:bCs/>
          <w:color w:val="000000"/>
          <w:szCs w:val="24"/>
          <w:shd w:val="clear" w:color="auto" w:fill="FFFFFF"/>
        </w:rPr>
        <w:t xml:space="preserve"> </w:t>
      </w:r>
      <w:r>
        <w:t>days</w:t>
      </w:r>
      <w:r w:rsidR="009A4515">
        <w:rPr>
          <w:rStyle w:val="FootnoteReference"/>
        </w:rPr>
        <w:footnoteReference w:id="2"/>
      </w:r>
      <w:r>
        <w:t xml:space="preserve"> prior to the due date for submission if we require assistance from Firm in filing an updated and/or corrected report </w:t>
      </w:r>
      <w:r w:rsidR="001F5374">
        <w:t>on our behalf</w:t>
      </w:r>
      <w:r>
        <w:t xml:space="preserve">. Management acknowledges that Firm is under no obligation to provide such additional services unless mutually agreed to under a separate written agreement. </w:t>
      </w:r>
    </w:p>
    <w:p w14:paraId="256C823C" w14:textId="77777777" w:rsidR="00513B20" w:rsidRDefault="00513B20" w:rsidP="00513B20">
      <w:pPr>
        <w:pStyle w:val="Continuedpara"/>
        <w:spacing w:after="0"/>
      </w:pPr>
    </w:p>
    <w:p w14:paraId="10B45CF4" w14:textId="7CE4013F" w:rsidR="00A868BC" w:rsidRDefault="00AB57D9" w:rsidP="00A868BC">
      <w:pPr>
        <w:pStyle w:val="Continuedpara"/>
        <w:numPr>
          <w:ilvl w:val="0"/>
          <w:numId w:val="4"/>
        </w:numPr>
        <w:spacing w:after="0"/>
        <w:rPr>
          <w:b/>
          <w:bCs/>
        </w:rPr>
      </w:pPr>
      <w:r w:rsidRPr="00A868BC">
        <w:rPr>
          <w:b/>
          <w:bCs/>
        </w:rPr>
        <w:t xml:space="preserve">Management authorizes Firm to file </w:t>
      </w:r>
      <w:r w:rsidR="00A868BC">
        <w:rPr>
          <w:b/>
          <w:bCs/>
        </w:rPr>
        <w:t>our</w:t>
      </w:r>
      <w:r w:rsidRPr="00A868BC">
        <w:rPr>
          <w:b/>
          <w:bCs/>
        </w:rPr>
        <w:t xml:space="preserve"> </w:t>
      </w:r>
      <w:r w:rsidR="00A868BC">
        <w:rPr>
          <w:b/>
          <w:bCs/>
        </w:rPr>
        <w:t xml:space="preserve">initial </w:t>
      </w:r>
      <w:r w:rsidRPr="00A868BC">
        <w:rPr>
          <w:b/>
          <w:bCs/>
        </w:rPr>
        <w:t xml:space="preserve">BOI report on </w:t>
      </w:r>
      <w:r w:rsidR="00A868BC">
        <w:rPr>
          <w:b/>
          <w:bCs/>
        </w:rPr>
        <w:t xml:space="preserve">our </w:t>
      </w:r>
      <w:r w:rsidRPr="00A868BC">
        <w:rPr>
          <w:b/>
          <w:bCs/>
        </w:rPr>
        <w:t>behalf</w:t>
      </w:r>
      <w:r w:rsidR="00A868BC">
        <w:rPr>
          <w:b/>
          <w:bCs/>
        </w:rPr>
        <w:t xml:space="preserve">.  </w:t>
      </w:r>
    </w:p>
    <w:p w14:paraId="372C8E56" w14:textId="77777777" w:rsidR="00A868BC" w:rsidRDefault="00A868BC" w:rsidP="00A868BC">
      <w:pPr>
        <w:pStyle w:val="Continuedpara"/>
        <w:spacing w:after="0"/>
        <w:ind w:left="720"/>
        <w:rPr>
          <w:b/>
          <w:bCs/>
        </w:rPr>
      </w:pPr>
    </w:p>
    <w:p w14:paraId="79BC5C47" w14:textId="5C10EF2C" w:rsidR="00A868BC" w:rsidRPr="00476F8A" w:rsidRDefault="00A868BC" w:rsidP="00A868BC">
      <w:pPr>
        <w:pStyle w:val="Continuedpara"/>
        <w:numPr>
          <w:ilvl w:val="0"/>
          <w:numId w:val="4"/>
        </w:numPr>
        <w:spacing w:after="0"/>
        <w:rPr>
          <w:b/>
          <w:bCs/>
        </w:rPr>
      </w:pPr>
      <w:r w:rsidRPr="00261E32">
        <w:rPr>
          <w:b/>
          <w:bCs/>
        </w:rPr>
        <w:t xml:space="preserve">Management </w:t>
      </w:r>
      <w:r w:rsidRPr="00261E32">
        <w:rPr>
          <w:b/>
          <w:bCs/>
          <w:szCs w:val="24"/>
        </w:rPr>
        <w:t xml:space="preserve">represents, certifies, and warrants to Firm that all information provided to the Firm for purposes of the preparation and submission of </w:t>
      </w:r>
      <w:r>
        <w:rPr>
          <w:b/>
          <w:bCs/>
          <w:szCs w:val="24"/>
        </w:rPr>
        <w:t>the</w:t>
      </w:r>
      <w:r w:rsidRPr="00261E32">
        <w:rPr>
          <w:b/>
          <w:bCs/>
          <w:szCs w:val="24"/>
        </w:rPr>
        <w:t xml:space="preserve"> initial BOI report as required under the CTA is</w:t>
      </w:r>
      <w:r w:rsidRPr="00261E32">
        <w:rPr>
          <w:b/>
          <w:bCs/>
        </w:rPr>
        <w:t xml:space="preserve"> true, correct, and complete, and we agree that Firm may rely solely, without independent verification, on the accuracy and completeness of the information provided</w:t>
      </w:r>
      <w:r w:rsidRPr="00476F8A">
        <w:rPr>
          <w:b/>
          <w:bCs/>
        </w:rPr>
        <w:t xml:space="preserve">. </w:t>
      </w:r>
    </w:p>
    <w:p w14:paraId="6D6328A5" w14:textId="77777777" w:rsidR="00A868BC" w:rsidRDefault="00A868BC" w:rsidP="00A868BC">
      <w:pPr>
        <w:pStyle w:val="Continuedpara"/>
        <w:spacing w:after="0"/>
        <w:rPr>
          <w:b/>
          <w:bCs/>
        </w:rPr>
      </w:pPr>
    </w:p>
    <w:p w14:paraId="68EE6B2D" w14:textId="0B680905" w:rsidR="00737753" w:rsidRPr="00261E32" w:rsidRDefault="00737753" w:rsidP="00DC5125">
      <w:pPr>
        <w:pStyle w:val="Continuedpara"/>
        <w:numPr>
          <w:ilvl w:val="0"/>
          <w:numId w:val="4"/>
        </w:numPr>
        <w:spacing w:after="0"/>
        <w:rPr>
          <w:b/>
          <w:bCs/>
        </w:rPr>
      </w:pPr>
      <w:r w:rsidRPr="00261E32">
        <w:rPr>
          <w:b/>
          <w:bCs/>
        </w:rPr>
        <w:t xml:space="preserve">Management </w:t>
      </w:r>
      <w:r w:rsidR="00B24767">
        <w:rPr>
          <w:b/>
          <w:bCs/>
        </w:rPr>
        <w:t xml:space="preserve">acknowledges the </w:t>
      </w:r>
      <w:r w:rsidR="00B24767" w:rsidRPr="008E64A8">
        <w:rPr>
          <w:b/>
          <w:bCs/>
        </w:rPr>
        <w:t>importance of oral and written management representations</w:t>
      </w:r>
      <w:r w:rsidR="00B24767">
        <w:rPr>
          <w:b/>
          <w:bCs/>
        </w:rPr>
        <w:t xml:space="preserve"> </w:t>
      </w:r>
      <w:r w:rsidR="00027183">
        <w:rPr>
          <w:b/>
          <w:bCs/>
        </w:rPr>
        <w:t xml:space="preserve">in the performance of </w:t>
      </w:r>
      <w:r w:rsidR="00E81EC3">
        <w:rPr>
          <w:b/>
          <w:bCs/>
        </w:rPr>
        <w:t>Firm’s</w:t>
      </w:r>
      <w:r w:rsidR="00027183">
        <w:rPr>
          <w:b/>
          <w:bCs/>
        </w:rPr>
        <w:t xml:space="preserve"> limited services</w:t>
      </w:r>
      <w:r w:rsidR="00067204">
        <w:rPr>
          <w:b/>
          <w:bCs/>
        </w:rPr>
        <w:t xml:space="preserve"> </w:t>
      </w:r>
      <w:r w:rsidRPr="00261E32">
        <w:rPr>
          <w:b/>
          <w:bCs/>
        </w:rPr>
        <w:t>and agrees to release and indemnify Firm</w:t>
      </w:r>
      <w:r w:rsidR="00566D7D">
        <w:rPr>
          <w:b/>
          <w:bCs/>
        </w:rPr>
        <w:t xml:space="preserve"> </w:t>
      </w:r>
      <w:r w:rsidRPr="00261E32">
        <w:rPr>
          <w:b/>
          <w:bCs/>
        </w:rPr>
        <w:t>and its personnel from any and all claims, liabilities, costs</w:t>
      </w:r>
      <w:r w:rsidR="007E7A33">
        <w:rPr>
          <w:b/>
          <w:bCs/>
        </w:rPr>
        <w:t>,</w:t>
      </w:r>
      <w:r w:rsidRPr="00261E32">
        <w:rPr>
          <w:b/>
          <w:bCs/>
        </w:rPr>
        <w:t xml:space="preserve"> and expenses attributable to any misrepresentation by Management and our representatives. </w:t>
      </w:r>
    </w:p>
    <w:p w14:paraId="0DDC8637" w14:textId="77777777" w:rsidR="00737753" w:rsidRPr="00737753" w:rsidRDefault="00737753" w:rsidP="00737753">
      <w:pPr>
        <w:pStyle w:val="Continuedpara"/>
        <w:spacing w:after="0"/>
        <w:ind w:left="720"/>
        <w:rPr>
          <w:b/>
          <w:bCs/>
          <w:szCs w:val="24"/>
        </w:rPr>
      </w:pPr>
    </w:p>
    <w:p w14:paraId="06018424" w14:textId="77777777" w:rsidR="00737753" w:rsidRDefault="00737753" w:rsidP="00737753"/>
    <w:p w14:paraId="49E09497" w14:textId="08AB1F31" w:rsidR="00767849" w:rsidRDefault="00767849" w:rsidP="00287B53">
      <w:pPr>
        <w:pStyle w:val="Continuedpara"/>
        <w:spacing w:after="0"/>
      </w:pPr>
      <w:r w:rsidRPr="00A26ED3">
        <w:t>Sincerely,</w:t>
      </w:r>
    </w:p>
    <w:p w14:paraId="59C301D6" w14:textId="77777777" w:rsidR="00767849" w:rsidRPr="00A26ED3" w:rsidRDefault="00767849" w:rsidP="00767849">
      <w:pPr>
        <w:pStyle w:val="Continuedpara"/>
        <w:spacing w:after="0"/>
      </w:pPr>
    </w:p>
    <w:p w14:paraId="47B1486F" w14:textId="0BACD76B" w:rsidR="00767849" w:rsidRPr="00A14282" w:rsidRDefault="004213E2" w:rsidP="00767849">
      <w:pPr>
        <w:pStyle w:val="Continuedpara"/>
        <w:spacing w:after="0"/>
        <w:rPr>
          <w:u w:val="single"/>
        </w:rPr>
      </w:pPr>
      <w:r w:rsidRPr="00A14282">
        <w:rPr>
          <w:u w:val="single"/>
        </w:rPr>
        <w:t>____________________</w:t>
      </w:r>
      <w:r w:rsidR="00767849" w:rsidRPr="00A14282">
        <w:rPr>
          <w:u w:val="single"/>
        </w:rPr>
        <w:t>____________________</w:t>
      </w:r>
    </w:p>
    <w:p w14:paraId="7734B385" w14:textId="77777777" w:rsidR="00767849" w:rsidRDefault="00767849" w:rsidP="00767849">
      <w:pPr>
        <w:pStyle w:val="Continuedpara"/>
        <w:spacing w:after="0"/>
      </w:pPr>
      <w:r w:rsidRPr="00A26ED3">
        <w:t>&lt;Client Representative&gt;</w:t>
      </w:r>
    </w:p>
    <w:p w14:paraId="3BD7F66B" w14:textId="77777777" w:rsidR="00767849" w:rsidRDefault="00767849" w:rsidP="00767849">
      <w:pPr>
        <w:pStyle w:val="Continuedpara"/>
        <w:spacing w:after="0"/>
      </w:pPr>
      <w:r w:rsidRPr="00A26ED3">
        <w:t>&lt;Client Name&gt;</w:t>
      </w:r>
    </w:p>
    <w:p w14:paraId="63237B5A" w14:textId="77777777" w:rsidR="003A485D" w:rsidRDefault="003A485D" w:rsidP="00767849">
      <w:pPr>
        <w:spacing w:after="0"/>
      </w:pPr>
    </w:p>
    <w:sectPr w:rsidR="003A4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E550" w14:textId="77777777" w:rsidR="007D1D41" w:rsidRDefault="007D1D41" w:rsidP="00767849">
      <w:pPr>
        <w:spacing w:after="0" w:line="240" w:lineRule="auto"/>
      </w:pPr>
      <w:r>
        <w:separator/>
      </w:r>
    </w:p>
  </w:endnote>
  <w:endnote w:type="continuationSeparator" w:id="0">
    <w:p w14:paraId="2124ABCB" w14:textId="77777777" w:rsidR="007D1D41" w:rsidRDefault="007D1D41" w:rsidP="0076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381" w14:textId="77777777" w:rsidR="00B97D39" w:rsidRDefault="00B97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C5A2" w14:textId="740BF987" w:rsidR="000F4715" w:rsidRDefault="000F4715" w:rsidP="000F4715">
    <w:pPr>
      <w:pStyle w:val="Footer"/>
      <w:tabs>
        <w:tab w:val="clear" w:pos="9360"/>
        <w:tab w:val="right" w:pos="9900"/>
      </w:tabs>
      <w:rPr>
        <w:sz w:val="20"/>
        <w:szCs w:val="20"/>
      </w:rPr>
    </w:pPr>
    <w:r>
      <w:rPr>
        <w:sz w:val="20"/>
        <w:szCs w:val="20"/>
      </w:rPr>
      <w:t xml:space="preserve">© </w:t>
    </w:r>
    <w:r w:rsidR="00B97D39" w:rsidRPr="00B97D39">
      <w:rPr>
        <w:sz w:val="20"/>
        <w:szCs w:val="20"/>
      </w:rPr>
      <w:t xml:space="preserve">Copyright </w:t>
    </w:r>
    <w:r>
      <w:rPr>
        <w:sz w:val="20"/>
        <w:szCs w:val="20"/>
      </w:rPr>
      <w:t>CAMICO. All rights reserved.</w:t>
    </w:r>
  </w:p>
  <w:p w14:paraId="594EB536" w14:textId="2BE0EE63" w:rsidR="000F4715" w:rsidRPr="00AB0431" w:rsidRDefault="000F4715" w:rsidP="000F4715">
    <w:pPr>
      <w:pStyle w:val="Footer"/>
      <w:tabs>
        <w:tab w:val="clear" w:pos="9360"/>
        <w:tab w:val="right" w:pos="9900"/>
      </w:tabs>
      <w:rPr>
        <w:sz w:val="20"/>
        <w:szCs w:val="20"/>
      </w:rPr>
    </w:pPr>
    <w:r>
      <w:rPr>
        <w:sz w:val="20"/>
        <w:szCs w:val="20"/>
      </w:rPr>
      <w:t xml:space="preserve">Updated </w:t>
    </w:r>
    <w:r w:rsidR="00993A21">
      <w:rPr>
        <w:sz w:val="20"/>
        <w:szCs w:val="20"/>
      </w:rPr>
      <w:t>February</w:t>
    </w:r>
    <w:r>
      <w:rPr>
        <w:sz w:val="20"/>
        <w:szCs w:val="20"/>
      </w:rPr>
      <w:t xml:space="preserve"> 2024</w:t>
    </w:r>
  </w:p>
  <w:p w14:paraId="7E1CC5B9" w14:textId="6980E430" w:rsidR="00767849" w:rsidRPr="00052D33" w:rsidRDefault="00767849" w:rsidP="00052D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7585" w14:textId="77777777" w:rsidR="00B97D39" w:rsidRDefault="00B97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3282" w14:textId="77777777" w:rsidR="007D1D41" w:rsidRDefault="007D1D41" w:rsidP="00767849">
      <w:pPr>
        <w:spacing w:after="0" w:line="240" w:lineRule="auto"/>
      </w:pPr>
      <w:r>
        <w:separator/>
      </w:r>
    </w:p>
  </w:footnote>
  <w:footnote w:type="continuationSeparator" w:id="0">
    <w:p w14:paraId="6F403518" w14:textId="77777777" w:rsidR="007D1D41" w:rsidRDefault="007D1D41" w:rsidP="00767849">
      <w:pPr>
        <w:spacing w:after="0" w:line="240" w:lineRule="auto"/>
      </w:pPr>
      <w:r>
        <w:continuationSeparator/>
      </w:r>
    </w:p>
  </w:footnote>
  <w:footnote w:id="1">
    <w:p w14:paraId="5C94C7FD" w14:textId="77777777" w:rsidR="00734710" w:rsidRPr="00E97015" w:rsidRDefault="00734710" w:rsidP="0073471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services described are for illustrative purposes only and should be modified as needed to be consistent with the terms of the engagement. </w:t>
      </w:r>
    </w:p>
    <w:p w14:paraId="5F555A6F" w14:textId="52C922AE" w:rsidR="00734710" w:rsidRPr="00734710" w:rsidRDefault="00734710">
      <w:pPr>
        <w:pStyle w:val="FootnoteText"/>
        <w:rPr>
          <w:lang w:val="en-US"/>
        </w:rPr>
      </w:pPr>
    </w:p>
  </w:footnote>
  <w:footnote w:id="2">
    <w:p w14:paraId="2EAE4BDF" w14:textId="67041703" w:rsidR="00B93F3D" w:rsidRPr="00E97015" w:rsidRDefault="009A4515" w:rsidP="00B93F3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B423B">
        <w:rPr>
          <w:sz w:val="18"/>
          <w:szCs w:val="18"/>
          <w:lang w:val="en-US"/>
        </w:rPr>
        <w:t>This time</w:t>
      </w:r>
      <w:r w:rsidR="00E9608D">
        <w:rPr>
          <w:sz w:val="18"/>
          <w:szCs w:val="18"/>
          <w:lang w:val="en-US"/>
        </w:rPr>
        <w:t xml:space="preserve"> </w:t>
      </w:r>
      <w:r w:rsidRPr="004B423B">
        <w:rPr>
          <w:sz w:val="18"/>
          <w:szCs w:val="18"/>
          <w:lang w:val="en-US"/>
        </w:rPr>
        <w:t xml:space="preserve">frame is merely for illustrative purposes </w:t>
      </w:r>
      <w:r w:rsidR="00B93F3D">
        <w:rPr>
          <w:lang w:val="en-US"/>
        </w:rPr>
        <w:t xml:space="preserve">and should be modified as needed to be consistent with the terms of the engagement. </w:t>
      </w:r>
    </w:p>
    <w:p w14:paraId="5C25A76B" w14:textId="6FA16FC4" w:rsidR="009A4515" w:rsidRPr="009A4515" w:rsidRDefault="009A4515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BCC3" w14:textId="77777777" w:rsidR="00B97D39" w:rsidRDefault="00B97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94A8" w14:textId="77777777" w:rsidR="00B97D39" w:rsidRDefault="00B97D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F950" w14:textId="77777777" w:rsidR="00B97D39" w:rsidRDefault="00B97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0B76"/>
    <w:multiLevelType w:val="hybridMultilevel"/>
    <w:tmpl w:val="95BCE002"/>
    <w:lvl w:ilvl="0" w:tplc="2F8465D8">
      <w:start w:val="1"/>
      <w:numFmt w:val="decimal"/>
      <w:lvlText w:val="%1."/>
      <w:lvlJc w:val="left"/>
      <w:pPr>
        <w:ind w:left="1002" w:hanging="55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" w15:restartNumberingAfterBreak="0">
    <w:nsid w:val="196E3553"/>
    <w:multiLevelType w:val="hybridMultilevel"/>
    <w:tmpl w:val="ED8A6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22437"/>
    <w:multiLevelType w:val="hybridMultilevel"/>
    <w:tmpl w:val="3C66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2471A"/>
    <w:multiLevelType w:val="hybridMultilevel"/>
    <w:tmpl w:val="A82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1177"/>
    <w:multiLevelType w:val="hybridMultilevel"/>
    <w:tmpl w:val="7DA808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8525836">
    <w:abstractNumId w:val="0"/>
  </w:num>
  <w:num w:numId="2" w16cid:durableId="1738087127">
    <w:abstractNumId w:val="3"/>
  </w:num>
  <w:num w:numId="3" w16cid:durableId="1753576025">
    <w:abstractNumId w:val="1"/>
  </w:num>
  <w:num w:numId="4" w16cid:durableId="33581688">
    <w:abstractNumId w:val="2"/>
  </w:num>
  <w:num w:numId="5" w16cid:durableId="504829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49"/>
    <w:rsid w:val="00000E80"/>
    <w:rsid w:val="00001113"/>
    <w:rsid w:val="0000395E"/>
    <w:rsid w:val="0002668B"/>
    <w:rsid w:val="00027183"/>
    <w:rsid w:val="00052D33"/>
    <w:rsid w:val="00052FD0"/>
    <w:rsid w:val="00064071"/>
    <w:rsid w:val="00067204"/>
    <w:rsid w:val="000A7C16"/>
    <w:rsid w:val="000B4836"/>
    <w:rsid w:val="000C76D4"/>
    <w:rsid w:val="000F4715"/>
    <w:rsid w:val="001277DC"/>
    <w:rsid w:val="001315F9"/>
    <w:rsid w:val="00141279"/>
    <w:rsid w:val="00196A05"/>
    <w:rsid w:val="001B71CA"/>
    <w:rsid w:val="001D6F24"/>
    <w:rsid w:val="001E4B86"/>
    <w:rsid w:val="001F5374"/>
    <w:rsid w:val="00205855"/>
    <w:rsid w:val="00227207"/>
    <w:rsid w:val="00250040"/>
    <w:rsid w:val="00257D2A"/>
    <w:rsid w:val="0026191B"/>
    <w:rsid w:val="00261E32"/>
    <w:rsid w:val="002719D2"/>
    <w:rsid w:val="00281123"/>
    <w:rsid w:val="00287B53"/>
    <w:rsid w:val="002A0C6B"/>
    <w:rsid w:val="002A3299"/>
    <w:rsid w:val="0033287C"/>
    <w:rsid w:val="00335313"/>
    <w:rsid w:val="00344083"/>
    <w:rsid w:val="003656A0"/>
    <w:rsid w:val="00396E86"/>
    <w:rsid w:val="003A485D"/>
    <w:rsid w:val="004213E2"/>
    <w:rsid w:val="00442F21"/>
    <w:rsid w:val="00450E5C"/>
    <w:rsid w:val="004615E1"/>
    <w:rsid w:val="0046255C"/>
    <w:rsid w:val="004761DD"/>
    <w:rsid w:val="00476F8A"/>
    <w:rsid w:val="004D1435"/>
    <w:rsid w:val="005123B8"/>
    <w:rsid w:val="00513B20"/>
    <w:rsid w:val="00545BCC"/>
    <w:rsid w:val="005576C3"/>
    <w:rsid w:val="00566D7D"/>
    <w:rsid w:val="0058411D"/>
    <w:rsid w:val="005A624F"/>
    <w:rsid w:val="005C0A02"/>
    <w:rsid w:val="005C61CC"/>
    <w:rsid w:val="0060395A"/>
    <w:rsid w:val="00614794"/>
    <w:rsid w:val="006166FF"/>
    <w:rsid w:val="00624AD0"/>
    <w:rsid w:val="00640F90"/>
    <w:rsid w:val="006445C3"/>
    <w:rsid w:val="00677AD0"/>
    <w:rsid w:val="006812B7"/>
    <w:rsid w:val="006A6949"/>
    <w:rsid w:val="006E07B0"/>
    <w:rsid w:val="006E2E55"/>
    <w:rsid w:val="006E6FAB"/>
    <w:rsid w:val="00713D53"/>
    <w:rsid w:val="00717776"/>
    <w:rsid w:val="00727F9D"/>
    <w:rsid w:val="00731AAC"/>
    <w:rsid w:val="00734710"/>
    <w:rsid w:val="00737753"/>
    <w:rsid w:val="00750F1F"/>
    <w:rsid w:val="00751A91"/>
    <w:rsid w:val="00755440"/>
    <w:rsid w:val="00767849"/>
    <w:rsid w:val="00776E29"/>
    <w:rsid w:val="00780AC6"/>
    <w:rsid w:val="00792DE8"/>
    <w:rsid w:val="007B1ECF"/>
    <w:rsid w:val="007C139E"/>
    <w:rsid w:val="007C24CC"/>
    <w:rsid w:val="007C4E45"/>
    <w:rsid w:val="007D1D41"/>
    <w:rsid w:val="007D2496"/>
    <w:rsid w:val="007E43B0"/>
    <w:rsid w:val="007E7A33"/>
    <w:rsid w:val="007F614E"/>
    <w:rsid w:val="00823850"/>
    <w:rsid w:val="00832742"/>
    <w:rsid w:val="00834CE8"/>
    <w:rsid w:val="00853047"/>
    <w:rsid w:val="00861D22"/>
    <w:rsid w:val="00876A91"/>
    <w:rsid w:val="008A373B"/>
    <w:rsid w:val="008A3B7D"/>
    <w:rsid w:val="008B11B0"/>
    <w:rsid w:val="008B459B"/>
    <w:rsid w:val="008C1CB3"/>
    <w:rsid w:val="00916637"/>
    <w:rsid w:val="00916BE0"/>
    <w:rsid w:val="00925DE5"/>
    <w:rsid w:val="0093069F"/>
    <w:rsid w:val="00954944"/>
    <w:rsid w:val="00961889"/>
    <w:rsid w:val="0097684F"/>
    <w:rsid w:val="009776B0"/>
    <w:rsid w:val="009875B7"/>
    <w:rsid w:val="00993A21"/>
    <w:rsid w:val="009A1197"/>
    <w:rsid w:val="009A20E3"/>
    <w:rsid w:val="009A4515"/>
    <w:rsid w:val="009B56D2"/>
    <w:rsid w:val="009F2F58"/>
    <w:rsid w:val="009F5592"/>
    <w:rsid w:val="00A14282"/>
    <w:rsid w:val="00A256E4"/>
    <w:rsid w:val="00A53529"/>
    <w:rsid w:val="00A818CE"/>
    <w:rsid w:val="00A83514"/>
    <w:rsid w:val="00A868BC"/>
    <w:rsid w:val="00A957B3"/>
    <w:rsid w:val="00AB38B9"/>
    <w:rsid w:val="00AB41CE"/>
    <w:rsid w:val="00AB57D9"/>
    <w:rsid w:val="00AE15E0"/>
    <w:rsid w:val="00B24767"/>
    <w:rsid w:val="00B654AA"/>
    <w:rsid w:val="00B71D1C"/>
    <w:rsid w:val="00B92C01"/>
    <w:rsid w:val="00B931C0"/>
    <w:rsid w:val="00B93F3D"/>
    <w:rsid w:val="00B97D39"/>
    <w:rsid w:val="00BC4E5C"/>
    <w:rsid w:val="00BC7A62"/>
    <w:rsid w:val="00BD3196"/>
    <w:rsid w:val="00BD4675"/>
    <w:rsid w:val="00C152CD"/>
    <w:rsid w:val="00C45E91"/>
    <w:rsid w:val="00C50AFA"/>
    <w:rsid w:val="00C56BE6"/>
    <w:rsid w:val="00CB1D73"/>
    <w:rsid w:val="00CE77AF"/>
    <w:rsid w:val="00D20D47"/>
    <w:rsid w:val="00D909B6"/>
    <w:rsid w:val="00DC37D7"/>
    <w:rsid w:val="00DC603E"/>
    <w:rsid w:val="00DF0E34"/>
    <w:rsid w:val="00DF7855"/>
    <w:rsid w:val="00E11EF3"/>
    <w:rsid w:val="00E25835"/>
    <w:rsid w:val="00E46A5A"/>
    <w:rsid w:val="00E56C17"/>
    <w:rsid w:val="00E606C2"/>
    <w:rsid w:val="00E706CD"/>
    <w:rsid w:val="00E75004"/>
    <w:rsid w:val="00E81CD9"/>
    <w:rsid w:val="00E81EC3"/>
    <w:rsid w:val="00E9608D"/>
    <w:rsid w:val="00E97015"/>
    <w:rsid w:val="00EB2A13"/>
    <w:rsid w:val="00EB7A4F"/>
    <w:rsid w:val="00EC7FC5"/>
    <w:rsid w:val="00EE4C34"/>
    <w:rsid w:val="00F136D6"/>
    <w:rsid w:val="00F254BC"/>
    <w:rsid w:val="00F26AB4"/>
    <w:rsid w:val="00F50180"/>
    <w:rsid w:val="00F560FE"/>
    <w:rsid w:val="00F7368C"/>
    <w:rsid w:val="00F77514"/>
    <w:rsid w:val="00F77F93"/>
    <w:rsid w:val="00F932F6"/>
    <w:rsid w:val="00FA55C0"/>
    <w:rsid w:val="00FD0DB5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83A5"/>
  <w15:chartTrackingRefBased/>
  <w15:docId w15:val="{7F147253-02B8-42CE-BDB3-A7F37638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qFormat/>
    <w:rsid w:val="00767849"/>
    <w:pPr>
      <w:spacing w:after="240" w:line="240" w:lineRule="auto"/>
      <w:ind w:firstLine="544"/>
      <w:jc w:val="both"/>
    </w:pPr>
    <w:rPr>
      <w:rFonts w:ascii="Times New Roman" w:eastAsia="Calibri" w:hAnsi="Times New Roman" w:cs="Times New Roman"/>
      <w:sz w:val="24"/>
      <w:lang w:val="en-IN"/>
    </w:rPr>
  </w:style>
  <w:style w:type="paragraph" w:customStyle="1" w:styleId="Continuedpara">
    <w:name w:val="Continued para"/>
    <w:basedOn w:val="Normal"/>
    <w:qFormat/>
    <w:rsid w:val="00767849"/>
    <w:pPr>
      <w:spacing w:after="240" w:line="240" w:lineRule="auto"/>
      <w:jc w:val="both"/>
    </w:pPr>
    <w:rPr>
      <w:rFonts w:ascii="Times New Roman" w:eastAsia="Calibri" w:hAnsi="Times New Roman" w:cs="Times New Roman"/>
      <w:sz w:val="24"/>
      <w:lang w:val="en-IN"/>
    </w:rPr>
  </w:style>
  <w:style w:type="paragraph" w:customStyle="1" w:styleId="NormalCenterHead">
    <w:name w:val="Normal Center Head"/>
    <w:basedOn w:val="Normal"/>
    <w:qFormat/>
    <w:rsid w:val="00767849"/>
    <w:pPr>
      <w:spacing w:after="24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767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49"/>
  </w:style>
  <w:style w:type="paragraph" w:styleId="Footer">
    <w:name w:val="footer"/>
    <w:basedOn w:val="Normal"/>
    <w:link w:val="FooterChar"/>
    <w:uiPriority w:val="99"/>
    <w:unhideWhenUsed/>
    <w:rsid w:val="00767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49"/>
  </w:style>
  <w:style w:type="paragraph" w:styleId="Revision">
    <w:name w:val="Revision"/>
    <w:hidden/>
    <w:uiPriority w:val="99"/>
    <w:semiHidden/>
    <w:rsid w:val="004D14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32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3775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I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7753"/>
    <w:rPr>
      <w:rFonts w:ascii="Times New Roman" w:eastAsia="Calibri" w:hAnsi="Times New Roman" w:cs="Times New Roman"/>
      <w:sz w:val="20"/>
      <w:szCs w:val="20"/>
      <w:lang w:val="en-IN"/>
    </w:rPr>
  </w:style>
  <w:style w:type="character" w:styleId="FootnoteReference">
    <w:name w:val="footnote reference"/>
    <w:uiPriority w:val="99"/>
    <w:unhideWhenUsed/>
    <w:rsid w:val="007377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A3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136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136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4E102-950C-41AA-8C8D-A50070D5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Representation Letter — Filing of Initial BOI Report</vt:lpstr>
    </vt:vector>
  </TitlesOfParts>
  <Company>CAMICO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Representation Letter — Filing of Initial BOI Report</dc:title>
  <dc:subject/>
  <dc:creator>CAMICO</dc:creator>
  <cp:keywords/>
  <dc:description>© CAMICO. All rights reserved.</dc:description>
  <cp:lastModifiedBy>Michelle Lobo</cp:lastModifiedBy>
  <cp:revision>4</cp:revision>
  <dcterms:created xsi:type="dcterms:W3CDTF">2024-02-08T20:40:00Z</dcterms:created>
  <dcterms:modified xsi:type="dcterms:W3CDTF">2024-02-16T01:14:00Z</dcterms:modified>
</cp:coreProperties>
</file>