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65714" w14:textId="1A91F0BB" w:rsidR="00D06125" w:rsidRPr="00D06125" w:rsidRDefault="00D06125" w:rsidP="006F671C">
      <w:pPr>
        <w:tabs>
          <w:tab w:val="left" w:pos="0"/>
        </w:tabs>
        <w:spacing w:after="0" w:line="240" w:lineRule="auto"/>
        <w:jc w:val="center"/>
        <w:rPr>
          <w:rFonts w:cstheme="minorHAnsi"/>
          <w:b/>
          <w:bCs/>
          <w:sz w:val="28"/>
          <w:szCs w:val="28"/>
        </w:rPr>
      </w:pPr>
      <w:r w:rsidRPr="00D06125">
        <w:rPr>
          <w:rFonts w:cstheme="minorHAnsi"/>
          <w:b/>
          <w:bCs/>
          <w:sz w:val="28"/>
          <w:szCs w:val="28"/>
        </w:rPr>
        <w:t>Combined PDF of Materials</w:t>
      </w:r>
    </w:p>
    <w:p w14:paraId="317BF7CA" w14:textId="68A9180A" w:rsidR="00D06125" w:rsidRPr="00D06125" w:rsidRDefault="00D06125" w:rsidP="006F671C">
      <w:pPr>
        <w:tabs>
          <w:tab w:val="left" w:pos="0"/>
        </w:tabs>
        <w:spacing w:after="0" w:line="240" w:lineRule="auto"/>
        <w:jc w:val="center"/>
        <w:rPr>
          <w:rFonts w:cstheme="minorHAnsi"/>
          <w:b/>
          <w:bCs/>
          <w:sz w:val="28"/>
          <w:szCs w:val="28"/>
        </w:rPr>
      </w:pPr>
      <w:r w:rsidRPr="00D06125">
        <w:rPr>
          <w:rFonts w:cstheme="minorHAnsi"/>
          <w:b/>
          <w:bCs/>
          <w:sz w:val="28"/>
          <w:szCs w:val="28"/>
        </w:rPr>
        <w:t xml:space="preserve">CAMICO Alert: Corporate Transparency Act </w:t>
      </w:r>
    </w:p>
    <w:p w14:paraId="30063DE0" w14:textId="3C461543" w:rsidR="00D06125" w:rsidRPr="00D06125" w:rsidRDefault="00D06125" w:rsidP="006F671C">
      <w:pPr>
        <w:tabs>
          <w:tab w:val="left" w:pos="0"/>
        </w:tabs>
        <w:spacing w:after="0" w:line="240" w:lineRule="auto"/>
        <w:jc w:val="center"/>
        <w:rPr>
          <w:rFonts w:cstheme="minorHAnsi"/>
          <w:b/>
          <w:bCs/>
          <w:sz w:val="28"/>
          <w:szCs w:val="28"/>
        </w:rPr>
      </w:pPr>
      <w:r w:rsidRPr="00D06125">
        <w:rPr>
          <w:rFonts w:cstheme="minorHAnsi"/>
          <w:b/>
          <w:bCs/>
          <w:sz w:val="28"/>
          <w:szCs w:val="28"/>
        </w:rPr>
        <w:t>January/February 2024</w:t>
      </w:r>
    </w:p>
    <w:p w14:paraId="1C36FE44" w14:textId="77777777" w:rsidR="00D06125" w:rsidRDefault="00D06125" w:rsidP="006F671C">
      <w:pPr>
        <w:tabs>
          <w:tab w:val="left" w:pos="0"/>
        </w:tabs>
        <w:spacing w:after="0" w:line="240" w:lineRule="auto"/>
        <w:jc w:val="center"/>
        <w:rPr>
          <w:rFonts w:cstheme="minorHAnsi"/>
          <w:b/>
          <w:bCs/>
          <w:sz w:val="24"/>
          <w:szCs w:val="24"/>
        </w:rPr>
      </w:pPr>
    </w:p>
    <w:p w14:paraId="019C3E18" w14:textId="028750E4" w:rsidR="00F80C33" w:rsidRPr="00DE10C2" w:rsidRDefault="00A3040F" w:rsidP="006F671C">
      <w:pPr>
        <w:tabs>
          <w:tab w:val="left" w:pos="0"/>
        </w:tabs>
        <w:spacing w:after="0" w:line="240" w:lineRule="auto"/>
        <w:jc w:val="center"/>
        <w:rPr>
          <w:rFonts w:cstheme="minorHAnsi"/>
          <w:b/>
          <w:bCs/>
          <w:sz w:val="24"/>
          <w:szCs w:val="24"/>
        </w:rPr>
      </w:pPr>
      <w:r w:rsidRPr="00DE10C2">
        <w:rPr>
          <w:rFonts w:cstheme="minorHAnsi"/>
          <w:b/>
          <w:bCs/>
          <w:sz w:val="24"/>
          <w:szCs w:val="24"/>
        </w:rPr>
        <w:t>Corporate Transparency Act</w:t>
      </w:r>
      <w:r w:rsidR="00F755D2" w:rsidRPr="00DE10C2">
        <w:rPr>
          <w:rFonts w:cstheme="minorHAnsi"/>
          <w:b/>
          <w:bCs/>
          <w:sz w:val="24"/>
          <w:szCs w:val="24"/>
        </w:rPr>
        <w:t xml:space="preserve"> </w:t>
      </w:r>
      <w:r w:rsidR="00C87290" w:rsidRPr="00DE10C2">
        <w:rPr>
          <w:rFonts w:cstheme="minorHAnsi"/>
          <w:b/>
          <w:bCs/>
          <w:sz w:val="24"/>
          <w:szCs w:val="24"/>
        </w:rPr>
        <w:t>(“</w:t>
      </w:r>
      <w:r w:rsidRPr="00DE10C2">
        <w:rPr>
          <w:rFonts w:cstheme="minorHAnsi"/>
          <w:b/>
          <w:bCs/>
          <w:sz w:val="24"/>
          <w:szCs w:val="24"/>
        </w:rPr>
        <w:t>CTA</w:t>
      </w:r>
      <w:r w:rsidR="00C87290" w:rsidRPr="00DE10C2">
        <w:rPr>
          <w:rFonts w:cstheme="minorHAnsi"/>
          <w:b/>
          <w:bCs/>
          <w:sz w:val="24"/>
          <w:szCs w:val="24"/>
        </w:rPr>
        <w:t xml:space="preserve">”) </w:t>
      </w:r>
    </w:p>
    <w:p w14:paraId="12DDE90C" w14:textId="13FEF3E7" w:rsidR="000B001E" w:rsidRPr="00DE10C2" w:rsidRDefault="00F36476" w:rsidP="006F671C">
      <w:pPr>
        <w:tabs>
          <w:tab w:val="left" w:pos="0"/>
        </w:tabs>
        <w:spacing w:after="0" w:line="240" w:lineRule="auto"/>
        <w:jc w:val="center"/>
        <w:rPr>
          <w:rFonts w:cstheme="minorHAnsi"/>
          <w:b/>
          <w:bCs/>
          <w:sz w:val="24"/>
          <w:szCs w:val="24"/>
        </w:rPr>
      </w:pPr>
      <w:r w:rsidRPr="00DE10C2">
        <w:rPr>
          <w:rFonts w:cstheme="minorHAnsi"/>
          <w:b/>
          <w:bCs/>
          <w:sz w:val="24"/>
          <w:szCs w:val="24"/>
        </w:rPr>
        <w:t>Frequently Asked Questions</w:t>
      </w:r>
      <w:r w:rsidR="00F80C33" w:rsidRPr="00DE10C2">
        <w:rPr>
          <w:rFonts w:cstheme="minorHAnsi"/>
          <w:b/>
          <w:bCs/>
          <w:sz w:val="24"/>
          <w:szCs w:val="24"/>
        </w:rPr>
        <w:t xml:space="preserve"> on </w:t>
      </w:r>
      <w:r w:rsidR="0010368B" w:rsidRPr="00DE10C2">
        <w:rPr>
          <w:rFonts w:cstheme="minorHAnsi"/>
          <w:b/>
          <w:bCs/>
          <w:sz w:val="24"/>
          <w:szCs w:val="24"/>
        </w:rPr>
        <w:t>CAMICO’s</w:t>
      </w:r>
      <w:r w:rsidR="00F80C33" w:rsidRPr="00DE10C2">
        <w:rPr>
          <w:rFonts w:cstheme="minorHAnsi"/>
          <w:b/>
          <w:bCs/>
          <w:sz w:val="24"/>
          <w:szCs w:val="24"/>
        </w:rPr>
        <w:t xml:space="preserve"> Loss Prevention Advisory Hotline</w:t>
      </w:r>
      <w:r w:rsidR="007259C4">
        <w:rPr>
          <w:rStyle w:val="FootnoteReference"/>
          <w:b/>
          <w:bCs/>
          <w:sz w:val="24"/>
          <w:szCs w:val="24"/>
        </w:rPr>
        <w:footnoteReference w:id="1"/>
      </w:r>
    </w:p>
    <w:p w14:paraId="39404220" w14:textId="252E2928" w:rsidR="00F8073C" w:rsidRPr="00DE10C2" w:rsidRDefault="00F8073C" w:rsidP="006F671C">
      <w:pPr>
        <w:tabs>
          <w:tab w:val="left" w:pos="0"/>
        </w:tabs>
        <w:spacing w:after="0" w:line="240" w:lineRule="auto"/>
        <w:jc w:val="center"/>
        <w:rPr>
          <w:rFonts w:cstheme="minorHAnsi"/>
          <w:b/>
          <w:bCs/>
          <w:sz w:val="24"/>
          <w:szCs w:val="24"/>
        </w:rPr>
      </w:pPr>
      <w:r w:rsidRPr="00DE10C2">
        <w:rPr>
          <w:rFonts w:cstheme="minorHAnsi"/>
          <w:b/>
          <w:bCs/>
          <w:sz w:val="24"/>
          <w:szCs w:val="24"/>
        </w:rPr>
        <w:t xml:space="preserve">Updated </w:t>
      </w:r>
      <w:r w:rsidR="00373421">
        <w:rPr>
          <w:rFonts w:cstheme="minorHAnsi"/>
          <w:b/>
          <w:bCs/>
          <w:sz w:val="24"/>
          <w:szCs w:val="24"/>
        </w:rPr>
        <w:t>February 7, 2024</w:t>
      </w:r>
      <w:r w:rsidR="0039139B">
        <w:rPr>
          <w:rStyle w:val="FootnoteReference"/>
          <w:b/>
          <w:bCs/>
          <w:sz w:val="24"/>
          <w:szCs w:val="24"/>
        </w:rPr>
        <w:footnoteReference w:id="2"/>
      </w:r>
    </w:p>
    <w:p w14:paraId="515A3165" w14:textId="77777777" w:rsidR="007725D9" w:rsidRDefault="007725D9" w:rsidP="006F671C">
      <w:pPr>
        <w:tabs>
          <w:tab w:val="left" w:pos="0"/>
        </w:tabs>
        <w:spacing w:after="0" w:line="240" w:lineRule="auto"/>
        <w:jc w:val="center"/>
        <w:rPr>
          <w:rFonts w:cstheme="minorHAnsi"/>
          <w:b/>
          <w:bCs/>
        </w:rPr>
      </w:pPr>
    </w:p>
    <w:p w14:paraId="5187DD2A" w14:textId="367917D9" w:rsidR="00F14D7D" w:rsidRPr="006F671C" w:rsidRDefault="00F14D7D" w:rsidP="0059611A">
      <w:pPr>
        <w:pBdr>
          <w:top w:val="single" w:sz="4" w:space="4" w:color="auto"/>
          <w:left w:val="single" w:sz="4" w:space="4" w:color="auto"/>
          <w:bottom w:val="single" w:sz="4" w:space="4" w:color="auto"/>
          <w:right w:val="single" w:sz="4" w:space="4" w:color="auto"/>
        </w:pBdr>
        <w:spacing w:afterLines="160" w:after="384"/>
        <w:contextualSpacing/>
        <w:rPr>
          <w:rFonts w:cstheme="minorHAnsi"/>
          <w:b/>
          <w:bCs/>
          <w:i/>
          <w:iCs/>
        </w:rPr>
      </w:pPr>
      <w:r w:rsidRPr="006F671C">
        <w:rPr>
          <w:rFonts w:cstheme="minorHAnsi"/>
          <w:b/>
          <w:bCs/>
          <w:i/>
          <w:iCs/>
        </w:rPr>
        <w:t xml:space="preserve">This document is not intended to be used or relied upon as a substitute for a firm’s compliance with applicable professional standards nor is it intended to </w:t>
      </w:r>
      <w:r w:rsidR="00BE53E3">
        <w:rPr>
          <w:rFonts w:cstheme="minorHAnsi"/>
          <w:b/>
          <w:bCs/>
          <w:i/>
          <w:iCs/>
        </w:rPr>
        <w:t xml:space="preserve">be a </w:t>
      </w:r>
      <w:r w:rsidRPr="006F671C">
        <w:rPr>
          <w:rFonts w:cstheme="minorHAnsi"/>
          <w:b/>
          <w:bCs/>
          <w:i/>
          <w:iCs/>
        </w:rPr>
        <w:t xml:space="preserve">substitute for seeking legal advice. CAMICO presents this </w:t>
      </w:r>
      <w:r w:rsidR="007725D9">
        <w:rPr>
          <w:rFonts w:cstheme="minorHAnsi"/>
          <w:b/>
          <w:bCs/>
          <w:i/>
          <w:iCs/>
        </w:rPr>
        <w:t>FAQ</w:t>
      </w:r>
      <w:r w:rsidRPr="006F671C">
        <w:rPr>
          <w:rFonts w:cstheme="minorHAnsi"/>
          <w:b/>
          <w:bCs/>
          <w:i/>
          <w:iCs/>
        </w:rPr>
        <w:t xml:space="preserve"> guide for reference purposes </w:t>
      </w:r>
      <w:r w:rsidR="00716360" w:rsidRPr="006F671C">
        <w:rPr>
          <w:rFonts w:cstheme="minorHAnsi"/>
          <w:b/>
          <w:bCs/>
          <w:i/>
          <w:iCs/>
        </w:rPr>
        <w:t>onl</w:t>
      </w:r>
      <w:r w:rsidR="00716360">
        <w:rPr>
          <w:rFonts w:cstheme="minorHAnsi"/>
          <w:b/>
          <w:bCs/>
          <w:i/>
          <w:iCs/>
        </w:rPr>
        <w:t>y</w:t>
      </w:r>
      <w:r w:rsidRPr="006F671C">
        <w:rPr>
          <w:rFonts w:eastAsia="Times New Roman" w:cstheme="minorHAnsi"/>
          <w:b/>
          <w:bCs/>
          <w:i/>
          <w:iCs/>
        </w:rPr>
        <w:t xml:space="preserve"> </w:t>
      </w:r>
      <w:r w:rsidR="00716360">
        <w:rPr>
          <w:rFonts w:eastAsia="Times New Roman" w:cstheme="minorHAnsi"/>
          <w:b/>
          <w:bCs/>
          <w:i/>
          <w:iCs/>
        </w:rPr>
        <w:t xml:space="preserve">to </w:t>
      </w:r>
      <w:r w:rsidR="00DE2394">
        <w:rPr>
          <w:rFonts w:eastAsia="Times New Roman" w:cstheme="minorHAnsi"/>
          <w:b/>
          <w:bCs/>
          <w:i/>
          <w:iCs/>
        </w:rPr>
        <w:t>highlight common</w:t>
      </w:r>
      <w:r w:rsidR="00716360">
        <w:rPr>
          <w:rFonts w:eastAsia="Times New Roman" w:cstheme="minorHAnsi"/>
          <w:b/>
          <w:bCs/>
          <w:i/>
          <w:iCs/>
        </w:rPr>
        <w:t xml:space="preserve"> </w:t>
      </w:r>
      <w:r w:rsidR="0001100E">
        <w:rPr>
          <w:rFonts w:eastAsia="Times New Roman" w:cstheme="minorHAnsi"/>
          <w:b/>
          <w:bCs/>
          <w:i/>
          <w:iCs/>
        </w:rPr>
        <w:t xml:space="preserve">inquiries received </w:t>
      </w:r>
      <w:r w:rsidR="00716360">
        <w:rPr>
          <w:rFonts w:eastAsia="Times New Roman" w:cstheme="minorHAnsi"/>
          <w:b/>
          <w:bCs/>
          <w:i/>
          <w:iCs/>
        </w:rPr>
        <w:t xml:space="preserve">from policyholders related </w:t>
      </w:r>
      <w:r w:rsidR="0001100E">
        <w:rPr>
          <w:rFonts w:eastAsia="Times New Roman" w:cstheme="minorHAnsi"/>
          <w:b/>
          <w:bCs/>
          <w:i/>
          <w:iCs/>
        </w:rPr>
        <w:t>to the new</w:t>
      </w:r>
      <w:r w:rsidR="00716360">
        <w:rPr>
          <w:rFonts w:eastAsia="Times New Roman" w:cstheme="minorHAnsi"/>
          <w:b/>
          <w:bCs/>
          <w:i/>
          <w:iCs/>
        </w:rPr>
        <w:t xml:space="preserve"> </w:t>
      </w:r>
      <w:r w:rsidRPr="006F671C">
        <w:rPr>
          <w:rFonts w:eastAsia="Times New Roman" w:cstheme="minorHAnsi"/>
          <w:b/>
          <w:bCs/>
          <w:i/>
          <w:iCs/>
        </w:rPr>
        <w:t>beneficial ownership reporting</w:t>
      </w:r>
      <w:r w:rsidR="0001100E">
        <w:rPr>
          <w:rFonts w:eastAsia="Times New Roman" w:cstheme="minorHAnsi"/>
          <w:b/>
          <w:bCs/>
          <w:i/>
          <w:iCs/>
        </w:rPr>
        <w:t xml:space="preserve"> rules </w:t>
      </w:r>
      <w:r w:rsidRPr="006F671C">
        <w:rPr>
          <w:rFonts w:eastAsia="Times New Roman" w:cstheme="minorHAnsi"/>
          <w:b/>
          <w:bCs/>
          <w:i/>
          <w:iCs/>
        </w:rPr>
        <w:t>under the Corporate Transparency Act.</w:t>
      </w:r>
      <w:r w:rsidRPr="006F671C">
        <w:rPr>
          <w:rFonts w:cstheme="minorHAnsi"/>
          <w:b/>
          <w:bCs/>
          <w:i/>
          <w:iCs/>
        </w:rPr>
        <w:t xml:space="preserve"> </w:t>
      </w:r>
      <w:r w:rsidR="00E84D1E">
        <w:rPr>
          <w:rFonts w:cstheme="minorHAnsi"/>
          <w:b/>
          <w:bCs/>
          <w:i/>
          <w:iCs/>
        </w:rPr>
        <w:t>C</w:t>
      </w:r>
      <w:r w:rsidRPr="006F671C">
        <w:rPr>
          <w:rFonts w:cstheme="minorHAnsi"/>
          <w:b/>
          <w:bCs/>
          <w:i/>
          <w:iCs/>
        </w:rPr>
        <w:t xml:space="preserve">AMICO policyholders </w:t>
      </w:r>
      <w:r w:rsidR="0001100E">
        <w:rPr>
          <w:rFonts w:cstheme="minorHAnsi"/>
          <w:b/>
          <w:bCs/>
          <w:i/>
          <w:iCs/>
        </w:rPr>
        <w:t>are welcome to</w:t>
      </w:r>
      <w:r w:rsidRPr="006F671C">
        <w:rPr>
          <w:rFonts w:cstheme="minorHAnsi"/>
          <w:b/>
          <w:bCs/>
          <w:i/>
          <w:iCs/>
        </w:rPr>
        <w:t xml:space="preserve"> contact CAMICO</w:t>
      </w:r>
      <w:r w:rsidR="007F7A98">
        <w:rPr>
          <w:rFonts w:cstheme="minorHAnsi"/>
          <w:b/>
          <w:bCs/>
          <w:i/>
          <w:iCs/>
        </w:rPr>
        <w:t xml:space="preserve"> </w:t>
      </w:r>
      <w:r w:rsidRPr="006F671C">
        <w:rPr>
          <w:rFonts w:cstheme="minorHAnsi"/>
          <w:b/>
          <w:bCs/>
          <w:i/>
          <w:iCs/>
        </w:rPr>
        <w:t xml:space="preserve">with specific questions, </w:t>
      </w:r>
      <w:r w:rsidR="007F7A98" w:rsidRPr="006F671C">
        <w:rPr>
          <w:rFonts w:cstheme="minorHAnsi"/>
          <w:b/>
          <w:bCs/>
          <w:i/>
          <w:iCs/>
        </w:rPr>
        <w:t>comments,</w:t>
      </w:r>
      <w:r w:rsidRPr="006F671C">
        <w:rPr>
          <w:rFonts w:cstheme="minorHAnsi"/>
          <w:b/>
          <w:bCs/>
          <w:i/>
          <w:iCs/>
        </w:rPr>
        <w:t xml:space="preserve"> or concerns at </w:t>
      </w:r>
      <w:r w:rsidR="00822DA5">
        <w:rPr>
          <w:rFonts w:cstheme="minorHAnsi"/>
          <w:b/>
          <w:bCs/>
          <w:i/>
          <w:iCs/>
        </w:rPr>
        <w:t>1.</w:t>
      </w:r>
      <w:r w:rsidRPr="006F671C">
        <w:rPr>
          <w:rFonts w:cstheme="minorHAnsi"/>
          <w:b/>
          <w:bCs/>
          <w:i/>
          <w:iCs/>
        </w:rPr>
        <w:t xml:space="preserve">800.652.1772 or </w:t>
      </w:r>
      <w:r w:rsidR="000E4B72">
        <w:rPr>
          <w:rFonts w:cstheme="minorHAnsi"/>
          <w:b/>
          <w:bCs/>
          <w:i/>
          <w:iCs/>
        </w:rPr>
        <w:t xml:space="preserve">by </w:t>
      </w:r>
      <w:r w:rsidRPr="006F671C">
        <w:rPr>
          <w:rFonts w:cstheme="minorHAnsi"/>
          <w:b/>
          <w:bCs/>
          <w:i/>
          <w:iCs/>
        </w:rPr>
        <w:t>email</w:t>
      </w:r>
      <w:r w:rsidR="000E4B72">
        <w:rPr>
          <w:rFonts w:cstheme="minorHAnsi"/>
          <w:b/>
          <w:bCs/>
          <w:i/>
          <w:iCs/>
        </w:rPr>
        <w:t xml:space="preserve"> at</w:t>
      </w:r>
      <w:r w:rsidRPr="006F671C">
        <w:rPr>
          <w:rFonts w:cstheme="minorHAnsi"/>
          <w:b/>
          <w:bCs/>
          <w:i/>
          <w:iCs/>
        </w:rPr>
        <w:t xml:space="preserve"> </w:t>
      </w:r>
      <w:hyperlink r:id="rId8" w:history="1">
        <w:r w:rsidRPr="006F671C">
          <w:rPr>
            <w:rStyle w:val="Hyperlink"/>
            <w:rFonts w:cstheme="minorHAnsi"/>
            <w:b/>
            <w:bCs/>
            <w:i/>
            <w:iCs/>
            <w:color w:val="auto"/>
          </w:rPr>
          <w:t>lp@camico.com</w:t>
        </w:r>
      </w:hyperlink>
      <w:r w:rsidRPr="006F671C">
        <w:rPr>
          <w:rFonts w:cstheme="minorHAnsi"/>
          <w:b/>
          <w:bCs/>
          <w:i/>
          <w:iCs/>
        </w:rPr>
        <w:t>.</w:t>
      </w:r>
      <w:r w:rsidR="007F7A98">
        <w:rPr>
          <w:rFonts w:cstheme="minorHAnsi"/>
          <w:b/>
          <w:bCs/>
          <w:i/>
          <w:iCs/>
        </w:rPr>
        <w:t xml:space="preserve"> </w:t>
      </w:r>
      <w:r w:rsidRPr="006F671C">
        <w:rPr>
          <w:rFonts w:cstheme="minorHAnsi"/>
          <w:b/>
          <w:bCs/>
          <w:i/>
          <w:iCs/>
        </w:rPr>
        <w:t xml:space="preserve">Additional risk management resources are available on CAMICO’s Members-Only Site </w:t>
      </w:r>
      <w:r w:rsidRPr="00D27FA3">
        <w:rPr>
          <w:rFonts w:cstheme="minorHAnsi"/>
          <w:b/>
          <w:bCs/>
          <w:i/>
          <w:iCs/>
        </w:rPr>
        <w:t>(</w:t>
      </w:r>
      <w:hyperlink r:id="rId9" w:history="1">
        <w:r w:rsidRPr="00D27FA3">
          <w:rPr>
            <w:rStyle w:val="Hyperlink"/>
            <w:rFonts w:cstheme="minorHAnsi"/>
            <w:b/>
            <w:bCs/>
            <w:i/>
            <w:iCs/>
            <w:color w:val="auto"/>
          </w:rPr>
          <w:t>https://www.camico.com</w:t>
        </w:r>
      </w:hyperlink>
      <w:r w:rsidRPr="00D27FA3">
        <w:rPr>
          <w:rFonts w:cstheme="minorHAnsi"/>
          <w:b/>
          <w:bCs/>
          <w:i/>
          <w:iCs/>
        </w:rPr>
        <w:t>).</w:t>
      </w:r>
      <w:r w:rsidR="00AE4343">
        <w:rPr>
          <w:rFonts w:cstheme="minorHAnsi"/>
          <w:b/>
          <w:bCs/>
        </w:rPr>
        <w:t xml:space="preserve"> </w:t>
      </w:r>
    </w:p>
    <w:p w14:paraId="3EF2E3D9" w14:textId="77777777" w:rsidR="00F14D7D" w:rsidRPr="00D06125" w:rsidRDefault="00F14D7D" w:rsidP="006F671C">
      <w:pPr>
        <w:tabs>
          <w:tab w:val="left" w:pos="0"/>
        </w:tabs>
        <w:spacing w:after="0" w:line="240" w:lineRule="auto"/>
        <w:jc w:val="center"/>
        <w:rPr>
          <w:rFonts w:cstheme="minorHAnsi"/>
          <w:b/>
          <w:bCs/>
          <w:sz w:val="8"/>
          <w:szCs w:val="8"/>
        </w:rPr>
      </w:pPr>
    </w:p>
    <w:p w14:paraId="5915EC26" w14:textId="7C280BFC" w:rsidR="00871E0E" w:rsidRPr="00C063E7" w:rsidRDefault="000E589F" w:rsidP="006F671C">
      <w:pPr>
        <w:spacing w:before="240"/>
        <w:rPr>
          <w:rFonts w:cstheme="minorHAnsi"/>
          <w:b/>
          <w:bCs/>
          <w:i/>
          <w:iCs/>
          <w:sz w:val="28"/>
          <w:szCs w:val="28"/>
          <w:u w:val="single"/>
        </w:rPr>
      </w:pPr>
      <w:r w:rsidRPr="00C063E7">
        <w:rPr>
          <w:rFonts w:cstheme="minorHAnsi"/>
          <w:b/>
          <w:bCs/>
          <w:i/>
          <w:iCs/>
          <w:sz w:val="28"/>
          <w:szCs w:val="28"/>
          <w:u w:val="single"/>
        </w:rPr>
        <w:t xml:space="preserve">Section 1: </w:t>
      </w:r>
      <w:r w:rsidR="00CE0086" w:rsidRPr="00C063E7">
        <w:rPr>
          <w:rFonts w:cstheme="minorHAnsi"/>
          <w:b/>
          <w:bCs/>
          <w:i/>
          <w:iCs/>
          <w:sz w:val="28"/>
          <w:szCs w:val="28"/>
          <w:u w:val="single"/>
        </w:rPr>
        <w:t>Background Information</w:t>
      </w:r>
      <w:r w:rsidR="00CE0086" w:rsidRPr="00C063E7">
        <w:rPr>
          <w:rStyle w:val="FootnoteReference"/>
          <w:b/>
          <w:bCs/>
          <w:i/>
          <w:iCs/>
          <w:sz w:val="28"/>
          <w:szCs w:val="28"/>
          <w:u w:val="single"/>
        </w:rPr>
        <w:footnoteReference w:id="3"/>
      </w:r>
      <w:r w:rsidR="00871E0E" w:rsidRPr="00C063E7">
        <w:rPr>
          <w:rFonts w:cstheme="minorHAnsi"/>
          <w:b/>
          <w:bCs/>
          <w:i/>
          <w:iCs/>
          <w:sz w:val="28"/>
          <w:szCs w:val="28"/>
          <w:u w:val="single"/>
        </w:rPr>
        <w:t xml:space="preserve"> </w:t>
      </w:r>
    </w:p>
    <w:p w14:paraId="39116252" w14:textId="3669ACDF" w:rsidR="00871E0E" w:rsidRPr="006F671C" w:rsidRDefault="00871E0E" w:rsidP="006F671C">
      <w:pPr>
        <w:rPr>
          <w:rFonts w:cstheme="minorHAnsi"/>
          <w:b/>
          <w:bCs/>
          <w:i/>
          <w:iCs/>
        </w:rPr>
      </w:pPr>
      <w:r w:rsidRPr="006F671C">
        <w:rPr>
          <w:rFonts w:cstheme="minorHAnsi"/>
          <w:b/>
          <w:bCs/>
        </w:rPr>
        <w:t xml:space="preserve">Q. </w:t>
      </w:r>
      <w:r w:rsidR="008F44F2" w:rsidRPr="006F671C">
        <w:rPr>
          <w:rFonts w:cstheme="minorHAnsi"/>
          <w:b/>
          <w:bCs/>
        </w:rPr>
        <w:t>What entities are subject to the new CTA reporting requirements?</w:t>
      </w:r>
    </w:p>
    <w:p w14:paraId="6D994243" w14:textId="51473836" w:rsidR="008F44F2" w:rsidRPr="006F671C" w:rsidRDefault="00871E0E" w:rsidP="00C33BE6">
      <w:pPr>
        <w:pStyle w:val="NormalWeb"/>
        <w:shd w:val="clear" w:color="auto" w:fill="FFFFFF"/>
        <w:spacing w:before="240" w:beforeAutospacing="0" w:after="240" w:afterAutospacing="0"/>
        <w:ind w:left="720"/>
        <w:rPr>
          <w:rFonts w:asciiTheme="minorHAnsi" w:hAnsiTheme="minorHAnsi" w:cstheme="minorHAnsi"/>
          <w:color w:val="212529"/>
          <w:sz w:val="22"/>
          <w:szCs w:val="22"/>
        </w:rPr>
      </w:pPr>
      <w:r w:rsidRPr="006F671C">
        <w:rPr>
          <w:rFonts w:asciiTheme="minorHAnsi" w:hAnsiTheme="minorHAnsi" w:cstheme="minorHAnsi"/>
          <w:b/>
          <w:bCs/>
          <w:sz w:val="22"/>
          <w:szCs w:val="22"/>
        </w:rPr>
        <w:t>A.</w:t>
      </w:r>
      <w:r w:rsidRPr="006F671C">
        <w:rPr>
          <w:rFonts w:asciiTheme="minorHAnsi" w:hAnsiTheme="minorHAnsi" w:cstheme="minorHAnsi"/>
          <w:sz w:val="22"/>
          <w:szCs w:val="22"/>
        </w:rPr>
        <w:t xml:space="preserve"> </w:t>
      </w:r>
      <w:r w:rsidR="008F44F2" w:rsidRPr="006F671C">
        <w:rPr>
          <w:rFonts w:asciiTheme="minorHAnsi" w:eastAsia="Calibri" w:hAnsiTheme="minorHAnsi" w:cstheme="minorHAnsi"/>
          <w:sz w:val="22"/>
          <w:szCs w:val="22"/>
        </w:rPr>
        <w:t>Entities required to comply with t</w:t>
      </w:r>
      <w:r w:rsidR="008F44F2" w:rsidRPr="006F671C">
        <w:rPr>
          <w:rFonts w:asciiTheme="minorHAnsi" w:hAnsiTheme="minorHAnsi" w:cstheme="minorHAnsi"/>
          <w:color w:val="212529"/>
          <w:sz w:val="22"/>
          <w:szCs w:val="22"/>
        </w:rPr>
        <w:t xml:space="preserve">he CTA </w:t>
      </w:r>
      <w:r w:rsidR="008F44F2" w:rsidRPr="006F671C">
        <w:rPr>
          <w:rFonts w:asciiTheme="minorHAnsi" w:eastAsia="Calibri" w:hAnsiTheme="minorHAnsi" w:cstheme="minorHAnsi"/>
          <w:sz w:val="22"/>
          <w:szCs w:val="22"/>
        </w:rPr>
        <w:t xml:space="preserve">(“Reporting Companies”) </w:t>
      </w:r>
      <w:r w:rsidR="008F44F2" w:rsidRPr="006F671C">
        <w:rPr>
          <w:rFonts w:asciiTheme="minorHAnsi" w:hAnsiTheme="minorHAnsi" w:cstheme="minorHAnsi"/>
          <w:color w:val="212529"/>
          <w:sz w:val="22"/>
          <w:szCs w:val="22"/>
        </w:rPr>
        <w:t xml:space="preserve">include corporations, limited liability companies (LLCs), and other types of companies created by a filing with a Secretary of State (“SOS”) or equivalent official. The CTA also applies to </w:t>
      </w:r>
      <w:r w:rsidR="008F44F2" w:rsidRPr="006F671C">
        <w:rPr>
          <w:rStyle w:val="Strong"/>
          <w:rFonts w:asciiTheme="minorHAnsi" w:eastAsiaTheme="majorEastAsia" w:hAnsiTheme="minorHAnsi" w:cstheme="minorHAnsi"/>
          <w:color w:val="212529"/>
          <w:sz w:val="22"/>
          <w:szCs w:val="22"/>
        </w:rPr>
        <w:t>non</w:t>
      </w:r>
      <w:r w:rsidR="008F44F2" w:rsidRPr="006F671C">
        <w:rPr>
          <w:rFonts w:asciiTheme="minorHAnsi" w:hAnsiTheme="minorHAnsi" w:cstheme="minorHAnsi"/>
          <w:color w:val="212529"/>
          <w:sz w:val="22"/>
          <w:szCs w:val="22"/>
        </w:rPr>
        <w:t>-U.S. companies registered to do business in the U.S. through a filing with a SOS or equivalent official. Since the definition of a domestic entity under the CTA is extremely broad, additional entity types could be subject to CTA reporting requirements based on individual state law formation practices.</w:t>
      </w:r>
    </w:p>
    <w:p w14:paraId="2B8FE466" w14:textId="3DAB029D" w:rsidR="008F44F2" w:rsidRPr="006F671C" w:rsidRDefault="008F44F2" w:rsidP="00C33BE6">
      <w:pPr>
        <w:pStyle w:val="NormalWeb"/>
        <w:shd w:val="clear" w:color="auto" w:fill="FFFFFF"/>
        <w:spacing w:before="0" w:beforeAutospacing="0" w:after="0" w:afterAutospacing="0"/>
        <w:ind w:left="720"/>
        <w:rPr>
          <w:rFonts w:asciiTheme="minorHAnsi" w:hAnsiTheme="minorHAnsi" w:cstheme="minorHAnsi"/>
          <w:sz w:val="22"/>
          <w:szCs w:val="22"/>
        </w:rPr>
      </w:pPr>
      <w:r w:rsidRPr="006F671C">
        <w:rPr>
          <w:rFonts w:asciiTheme="minorHAnsi" w:hAnsiTheme="minorHAnsi" w:cstheme="minorHAnsi"/>
          <w:color w:val="212529"/>
          <w:sz w:val="22"/>
          <w:szCs w:val="22"/>
        </w:rPr>
        <w:t xml:space="preserve">There are </w:t>
      </w:r>
      <w:proofErr w:type="gramStart"/>
      <w:r w:rsidRPr="006F671C">
        <w:rPr>
          <w:rFonts w:asciiTheme="minorHAnsi" w:hAnsiTheme="minorHAnsi" w:cstheme="minorHAnsi"/>
          <w:color w:val="212529"/>
          <w:sz w:val="22"/>
          <w:szCs w:val="22"/>
        </w:rPr>
        <w:t>a number of</w:t>
      </w:r>
      <w:proofErr w:type="gramEnd"/>
      <w:r w:rsidRPr="006F671C">
        <w:rPr>
          <w:rFonts w:asciiTheme="minorHAnsi" w:hAnsiTheme="minorHAnsi" w:cstheme="minorHAnsi"/>
          <w:color w:val="212529"/>
          <w:sz w:val="22"/>
          <w:szCs w:val="22"/>
        </w:rPr>
        <w:t xml:space="preserve"> exceptions to who is required to file under the CTA. M</w:t>
      </w:r>
      <w:r w:rsidRPr="006F671C">
        <w:rPr>
          <w:rFonts w:asciiTheme="minorHAnsi" w:hAnsiTheme="minorHAnsi" w:cstheme="minorHAnsi"/>
          <w:sz w:val="22"/>
          <w:szCs w:val="22"/>
        </w:rPr>
        <w:t xml:space="preserve">any of the exceptions are entities already regulated by federal or state governments and as such already disclose their beneficial ownership information to governmental authorities. </w:t>
      </w:r>
    </w:p>
    <w:p w14:paraId="4A39F1CC" w14:textId="77777777" w:rsidR="008F44F2" w:rsidRPr="006F671C" w:rsidRDefault="008F44F2" w:rsidP="00C33BE6">
      <w:pPr>
        <w:pStyle w:val="NormalWeb"/>
        <w:shd w:val="clear" w:color="auto" w:fill="FFFFFF"/>
        <w:spacing w:before="0" w:beforeAutospacing="0" w:after="0" w:afterAutospacing="0"/>
        <w:ind w:left="720"/>
        <w:rPr>
          <w:rFonts w:asciiTheme="minorHAnsi" w:hAnsiTheme="minorHAnsi" w:cstheme="minorHAnsi"/>
          <w:sz w:val="22"/>
          <w:szCs w:val="22"/>
        </w:rPr>
      </w:pPr>
    </w:p>
    <w:p w14:paraId="2BFE09A9" w14:textId="67756F48" w:rsidR="008F44F2" w:rsidRPr="006F671C" w:rsidRDefault="008F44F2" w:rsidP="00C33BE6">
      <w:pPr>
        <w:pStyle w:val="NormalWeb"/>
        <w:shd w:val="clear" w:color="auto" w:fill="FFFFFF"/>
        <w:spacing w:before="0" w:beforeAutospacing="0" w:after="0" w:afterAutospacing="0"/>
        <w:ind w:left="720"/>
        <w:rPr>
          <w:rFonts w:asciiTheme="minorHAnsi" w:hAnsiTheme="minorHAnsi" w:cstheme="minorHAnsi"/>
          <w:color w:val="212529"/>
          <w:sz w:val="22"/>
          <w:szCs w:val="22"/>
        </w:rPr>
      </w:pPr>
      <w:r w:rsidRPr="006F671C">
        <w:rPr>
          <w:rFonts w:asciiTheme="minorHAnsi" w:hAnsiTheme="minorHAnsi" w:cstheme="minorHAnsi"/>
          <w:color w:val="212529"/>
          <w:sz w:val="22"/>
          <w:szCs w:val="22"/>
        </w:rPr>
        <w:t xml:space="preserve">Another notable exception is for </w:t>
      </w:r>
      <w:bookmarkStart w:id="0" w:name="_Hlk152334676"/>
      <w:r w:rsidRPr="006F671C">
        <w:rPr>
          <w:rFonts w:asciiTheme="minorHAnsi" w:hAnsiTheme="minorHAnsi" w:cstheme="minorHAnsi"/>
          <w:i/>
          <w:iCs/>
          <w:color w:val="212529"/>
          <w:sz w:val="22"/>
          <w:szCs w:val="22"/>
        </w:rPr>
        <w:t>“large operating companies”</w:t>
      </w:r>
      <w:r w:rsidRPr="006F671C">
        <w:rPr>
          <w:rFonts w:asciiTheme="minorHAnsi" w:hAnsiTheme="minorHAnsi" w:cstheme="minorHAnsi"/>
          <w:color w:val="212529"/>
          <w:sz w:val="22"/>
          <w:szCs w:val="22"/>
        </w:rPr>
        <w:t xml:space="preserve"> </w:t>
      </w:r>
      <w:bookmarkEnd w:id="0"/>
      <w:r w:rsidRPr="006F671C">
        <w:rPr>
          <w:rFonts w:asciiTheme="minorHAnsi" w:hAnsiTheme="minorHAnsi" w:cstheme="minorHAnsi"/>
          <w:color w:val="212529"/>
          <w:sz w:val="22"/>
          <w:szCs w:val="22"/>
        </w:rPr>
        <w:t xml:space="preserve">defined as companies that meet </w:t>
      </w:r>
      <w:proofErr w:type="gramStart"/>
      <w:r w:rsidRPr="006F671C">
        <w:rPr>
          <w:rStyle w:val="Strong"/>
          <w:rFonts w:asciiTheme="minorHAnsi" w:hAnsiTheme="minorHAnsi" w:cstheme="minorHAnsi"/>
          <w:color w:val="212529"/>
          <w:sz w:val="22"/>
          <w:szCs w:val="22"/>
        </w:rPr>
        <w:t>all</w:t>
      </w:r>
      <w:r w:rsidRPr="006F671C">
        <w:rPr>
          <w:rFonts w:asciiTheme="minorHAnsi" w:hAnsiTheme="minorHAnsi" w:cstheme="minorHAnsi"/>
          <w:color w:val="212529"/>
          <w:sz w:val="22"/>
          <w:szCs w:val="22"/>
        </w:rPr>
        <w:t xml:space="preserve"> of</w:t>
      </w:r>
      <w:proofErr w:type="gramEnd"/>
      <w:r w:rsidRPr="006F671C">
        <w:rPr>
          <w:rFonts w:asciiTheme="minorHAnsi" w:hAnsiTheme="minorHAnsi" w:cstheme="minorHAnsi"/>
          <w:color w:val="212529"/>
          <w:sz w:val="22"/>
          <w:szCs w:val="22"/>
        </w:rPr>
        <w:t xml:space="preserve"> the following requirements:</w:t>
      </w:r>
    </w:p>
    <w:p w14:paraId="4BC5571C" w14:textId="77777777" w:rsidR="008F44F2" w:rsidRPr="006F671C" w:rsidRDefault="008F44F2" w:rsidP="00FB631C">
      <w:pPr>
        <w:numPr>
          <w:ilvl w:val="0"/>
          <w:numId w:val="20"/>
        </w:numPr>
        <w:shd w:val="clear" w:color="auto" w:fill="FFFFFF"/>
        <w:tabs>
          <w:tab w:val="clear" w:pos="720"/>
          <w:tab w:val="num" w:pos="2880"/>
        </w:tabs>
        <w:spacing w:after="0" w:line="240" w:lineRule="auto"/>
        <w:ind w:left="1440"/>
        <w:rPr>
          <w:rFonts w:cstheme="minorHAnsi"/>
          <w:color w:val="212529"/>
        </w:rPr>
      </w:pPr>
      <w:r w:rsidRPr="006F671C">
        <w:rPr>
          <w:rFonts w:cstheme="minorHAnsi"/>
          <w:color w:val="212529"/>
        </w:rPr>
        <w:t>Employ at least 20 full-time employees in the U.S.</w:t>
      </w:r>
    </w:p>
    <w:p w14:paraId="6CABA848" w14:textId="77777777" w:rsidR="008F44F2" w:rsidRPr="006F671C" w:rsidRDefault="008F44F2" w:rsidP="00FB631C">
      <w:pPr>
        <w:numPr>
          <w:ilvl w:val="0"/>
          <w:numId w:val="20"/>
        </w:numPr>
        <w:shd w:val="clear" w:color="auto" w:fill="FFFFFF"/>
        <w:tabs>
          <w:tab w:val="clear" w:pos="720"/>
          <w:tab w:val="num" w:pos="2520"/>
        </w:tabs>
        <w:spacing w:after="0" w:line="240" w:lineRule="auto"/>
        <w:ind w:left="1440"/>
        <w:rPr>
          <w:rFonts w:cstheme="minorHAnsi"/>
          <w:color w:val="212529"/>
        </w:rPr>
      </w:pPr>
      <w:r w:rsidRPr="006F671C">
        <w:rPr>
          <w:rFonts w:cstheme="minorHAnsi"/>
          <w:color w:val="212529"/>
        </w:rPr>
        <w:t>Gross revenue (or sales) over $5 million on the prior year’s tax return</w:t>
      </w:r>
    </w:p>
    <w:p w14:paraId="1063CD91" w14:textId="77777777" w:rsidR="008F44F2" w:rsidRPr="006F671C" w:rsidRDefault="008F44F2" w:rsidP="00FB631C">
      <w:pPr>
        <w:numPr>
          <w:ilvl w:val="0"/>
          <w:numId w:val="20"/>
        </w:numPr>
        <w:shd w:val="clear" w:color="auto" w:fill="FFFFFF"/>
        <w:tabs>
          <w:tab w:val="clear" w:pos="720"/>
          <w:tab w:val="num" w:pos="2520"/>
        </w:tabs>
        <w:spacing w:after="0" w:line="240" w:lineRule="auto"/>
        <w:ind w:left="1440"/>
        <w:rPr>
          <w:rFonts w:cstheme="minorHAnsi"/>
          <w:color w:val="212529"/>
        </w:rPr>
      </w:pPr>
      <w:r w:rsidRPr="006F671C">
        <w:rPr>
          <w:rFonts w:cstheme="minorHAnsi"/>
          <w:color w:val="212529"/>
        </w:rPr>
        <w:t>An operating presence at a physical office in the U.S.</w:t>
      </w:r>
    </w:p>
    <w:p w14:paraId="5FD1ED72" w14:textId="77777777" w:rsidR="008F44F2" w:rsidRPr="006F671C" w:rsidRDefault="008F44F2" w:rsidP="00C33BE6">
      <w:pPr>
        <w:shd w:val="clear" w:color="auto" w:fill="FFFFFF"/>
        <w:spacing w:after="0" w:line="240" w:lineRule="auto"/>
        <w:ind w:left="720"/>
        <w:rPr>
          <w:rFonts w:cstheme="minorHAnsi"/>
          <w:color w:val="212529"/>
        </w:rPr>
      </w:pPr>
    </w:p>
    <w:p w14:paraId="6834E97A" w14:textId="1741E9DD" w:rsidR="006C6E03" w:rsidRDefault="00497040" w:rsidP="00C33BE6">
      <w:pPr>
        <w:shd w:val="clear" w:color="auto" w:fill="FFFFFF"/>
        <w:autoSpaceDE w:val="0"/>
        <w:autoSpaceDN w:val="0"/>
        <w:adjustRightInd w:val="0"/>
        <w:spacing w:after="0" w:line="240" w:lineRule="auto"/>
        <w:ind w:left="720"/>
        <w:rPr>
          <w:rFonts w:cstheme="minorHAnsi"/>
        </w:rPr>
      </w:pPr>
      <w:r w:rsidRPr="006F671C">
        <w:rPr>
          <w:rFonts w:cstheme="minorHAnsi"/>
          <w:color w:val="202124"/>
          <w:shd w:val="clear" w:color="auto" w:fill="FFFFFF"/>
        </w:rPr>
        <w:t>Note that each exemption has detailed requirements</w:t>
      </w:r>
      <w:r w:rsidR="004776F6">
        <w:rPr>
          <w:rFonts w:cstheme="minorHAnsi"/>
          <w:color w:val="202124"/>
          <w:shd w:val="clear" w:color="auto" w:fill="FFFFFF"/>
        </w:rPr>
        <w:t>. R</w:t>
      </w:r>
      <w:bookmarkStart w:id="1" w:name="_Hlk153277788"/>
      <w:r w:rsidRPr="006F671C">
        <w:rPr>
          <w:rFonts w:cstheme="minorHAnsi"/>
          <w:color w:val="202124"/>
          <w:shd w:val="clear" w:color="auto" w:fill="FFFFFF"/>
        </w:rPr>
        <w:t xml:space="preserve">efer </w:t>
      </w:r>
      <w:r w:rsidRPr="00C75C5B">
        <w:rPr>
          <w:rFonts w:cstheme="minorHAnsi"/>
          <w:color w:val="202124"/>
          <w:shd w:val="clear" w:color="auto" w:fill="FFFFFF"/>
        </w:rPr>
        <w:t xml:space="preserve">to </w:t>
      </w:r>
      <w:hyperlink r:id="rId10" w:history="1">
        <w:r w:rsidRPr="00C75C5B">
          <w:rPr>
            <w:rStyle w:val="Hyperlink"/>
            <w:rFonts w:cstheme="minorHAnsi"/>
          </w:rPr>
          <w:t>Reference Materials | FinCEN.gov</w:t>
        </w:r>
      </w:hyperlink>
      <w:r w:rsidRPr="00C75C5B">
        <w:rPr>
          <w:rFonts w:cstheme="minorHAnsi"/>
        </w:rPr>
        <w:t xml:space="preserve"> for</w:t>
      </w:r>
      <w:r w:rsidRPr="006F671C">
        <w:rPr>
          <w:rFonts w:cstheme="minorHAnsi"/>
        </w:rPr>
        <w:t xml:space="preserve"> additional information. </w:t>
      </w:r>
    </w:p>
    <w:p w14:paraId="4374F611" w14:textId="45B23345" w:rsidR="008F44F2" w:rsidRPr="006C6E03" w:rsidRDefault="006C6E03" w:rsidP="006C6E03">
      <w:pPr>
        <w:rPr>
          <w:rFonts w:cstheme="minorHAnsi"/>
        </w:rPr>
      </w:pPr>
      <w:r>
        <w:rPr>
          <w:rFonts w:cstheme="minorHAnsi"/>
        </w:rPr>
        <w:br w:type="page"/>
      </w:r>
      <w:bookmarkEnd w:id="1"/>
      <w:r w:rsidR="00854A68" w:rsidRPr="006F671C">
        <w:rPr>
          <w:rFonts w:cstheme="minorHAnsi"/>
          <w:b/>
          <w:bCs/>
        </w:rPr>
        <w:lastRenderedPageBreak/>
        <w:t xml:space="preserve">Q. </w:t>
      </w:r>
      <w:r w:rsidR="008F44F2" w:rsidRPr="006F671C">
        <w:rPr>
          <w:rFonts w:cstheme="minorHAnsi"/>
          <w:b/>
          <w:bCs/>
        </w:rPr>
        <w:t>Who is considered a “beneficial owner” of a Reporting Company?</w:t>
      </w:r>
    </w:p>
    <w:p w14:paraId="43AE746A" w14:textId="78CD8B06" w:rsidR="008F44F2" w:rsidRPr="006F671C" w:rsidRDefault="008F44F2" w:rsidP="006B2833">
      <w:pPr>
        <w:pStyle w:val="NormalWeb"/>
        <w:spacing w:before="0" w:beforeAutospacing="0" w:after="0" w:afterAutospacing="0"/>
        <w:ind w:left="720"/>
        <w:rPr>
          <w:rFonts w:asciiTheme="minorHAnsi" w:hAnsiTheme="minorHAnsi" w:cstheme="minorHAnsi"/>
          <w:sz w:val="22"/>
          <w:szCs w:val="22"/>
        </w:rPr>
      </w:pPr>
      <w:r w:rsidRPr="006F671C">
        <w:rPr>
          <w:rFonts w:asciiTheme="minorHAnsi" w:hAnsiTheme="minorHAnsi" w:cstheme="minorHAnsi"/>
          <w:b/>
          <w:bCs/>
          <w:sz w:val="22"/>
          <w:szCs w:val="22"/>
        </w:rPr>
        <w:t>A.</w:t>
      </w:r>
      <w:r w:rsidRPr="006F671C">
        <w:rPr>
          <w:rFonts w:asciiTheme="minorHAnsi" w:hAnsiTheme="minorHAnsi" w:cstheme="minorHAnsi"/>
          <w:sz w:val="22"/>
          <w:szCs w:val="22"/>
        </w:rPr>
        <w:t xml:space="preserve"> A beneficial owner is any individual who, directly or indirectly, exercises “substantial control” or owns or controls at least 25% of a </w:t>
      </w:r>
      <w:r w:rsidR="00CC22D5">
        <w:rPr>
          <w:rFonts w:asciiTheme="minorHAnsi" w:hAnsiTheme="minorHAnsi" w:cstheme="minorHAnsi"/>
          <w:sz w:val="22"/>
          <w:szCs w:val="22"/>
        </w:rPr>
        <w:t>R</w:t>
      </w:r>
      <w:r w:rsidR="00CC22D5" w:rsidRPr="006F671C">
        <w:rPr>
          <w:rFonts w:asciiTheme="minorHAnsi" w:hAnsiTheme="minorHAnsi" w:cstheme="minorHAnsi"/>
          <w:sz w:val="22"/>
          <w:szCs w:val="22"/>
        </w:rPr>
        <w:t xml:space="preserve">eporting </w:t>
      </w:r>
      <w:r w:rsidR="00761FA8">
        <w:rPr>
          <w:rFonts w:asciiTheme="minorHAnsi" w:hAnsiTheme="minorHAnsi" w:cstheme="minorHAnsi"/>
          <w:sz w:val="22"/>
          <w:szCs w:val="22"/>
        </w:rPr>
        <w:t>C</w:t>
      </w:r>
      <w:r w:rsidR="00CC22D5" w:rsidRPr="006F671C">
        <w:rPr>
          <w:rFonts w:asciiTheme="minorHAnsi" w:hAnsiTheme="minorHAnsi" w:cstheme="minorHAnsi"/>
          <w:sz w:val="22"/>
          <w:szCs w:val="22"/>
        </w:rPr>
        <w:t xml:space="preserve">ompany’s </w:t>
      </w:r>
      <w:r w:rsidRPr="006F671C">
        <w:rPr>
          <w:rFonts w:asciiTheme="minorHAnsi" w:hAnsiTheme="minorHAnsi" w:cstheme="minorHAnsi"/>
          <w:sz w:val="22"/>
          <w:szCs w:val="22"/>
        </w:rPr>
        <w:t>ownership interests.</w:t>
      </w:r>
    </w:p>
    <w:p w14:paraId="16B4E213" w14:textId="77777777" w:rsidR="008F44F2" w:rsidRPr="006F671C" w:rsidRDefault="008F44F2" w:rsidP="006B2833">
      <w:pPr>
        <w:pStyle w:val="NormalWeb"/>
        <w:spacing w:before="0" w:beforeAutospacing="0" w:after="0" w:afterAutospacing="0"/>
        <w:ind w:left="720"/>
        <w:rPr>
          <w:rFonts w:asciiTheme="minorHAnsi" w:hAnsiTheme="minorHAnsi" w:cstheme="minorHAnsi"/>
          <w:sz w:val="22"/>
          <w:szCs w:val="22"/>
        </w:rPr>
      </w:pPr>
    </w:p>
    <w:p w14:paraId="3451A508" w14:textId="77777777" w:rsidR="008F44F2" w:rsidRPr="006F671C" w:rsidRDefault="008F44F2" w:rsidP="006B2833">
      <w:pPr>
        <w:autoSpaceDE w:val="0"/>
        <w:autoSpaceDN w:val="0"/>
        <w:adjustRightInd w:val="0"/>
        <w:spacing w:after="0" w:line="240" w:lineRule="auto"/>
        <w:ind w:left="720"/>
        <w:rPr>
          <w:rFonts w:cstheme="minorHAnsi"/>
        </w:rPr>
      </w:pPr>
      <w:r w:rsidRPr="006F671C">
        <w:rPr>
          <w:rFonts w:cstheme="minorHAnsi"/>
        </w:rPr>
        <w:t>An individual exercises “substantial control” if the individual (</w:t>
      </w:r>
      <w:proofErr w:type="spellStart"/>
      <w:r w:rsidRPr="006F671C">
        <w:rPr>
          <w:rFonts w:cstheme="minorHAnsi"/>
        </w:rPr>
        <w:t>i</w:t>
      </w:r>
      <w:proofErr w:type="spellEnd"/>
      <w:r w:rsidRPr="006F671C">
        <w:rPr>
          <w:rFonts w:cstheme="minorHAnsi"/>
        </w:rPr>
        <w:t xml:space="preserve">) serves as a senior officer of the company; (ii) has authority over the appointment or removal of any senior officer or </w:t>
      </w:r>
      <w:proofErr w:type="gramStart"/>
      <w:r w:rsidRPr="006F671C">
        <w:rPr>
          <w:rFonts w:cstheme="minorHAnsi"/>
        </w:rPr>
        <w:t>a majority of</w:t>
      </w:r>
      <w:proofErr w:type="gramEnd"/>
      <w:r w:rsidRPr="006F671C">
        <w:rPr>
          <w:rFonts w:cstheme="minorHAnsi"/>
        </w:rPr>
        <w:t xml:space="preserve"> the board; or (iii) directs, determines, or has substantial influence over important decisions made by the Reporting Company. Thus, senior officers and other individuals with control over the company are beneficial owners under the CTA, even if they have no equity interest in the company. </w:t>
      </w:r>
    </w:p>
    <w:p w14:paraId="3B34EB3D" w14:textId="77777777" w:rsidR="008F44F2" w:rsidRPr="006F671C" w:rsidRDefault="008F44F2" w:rsidP="006B2833">
      <w:pPr>
        <w:pStyle w:val="NormalWeb"/>
        <w:spacing w:before="0" w:beforeAutospacing="0" w:after="0" w:afterAutospacing="0"/>
        <w:ind w:left="720"/>
        <w:rPr>
          <w:rFonts w:asciiTheme="minorHAnsi" w:hAnsiTheme="minorHAnsi" w:cstheme="minorHAnsi"/>
          <w:sz w:val="22"/>
          <w:szCs w:val="22"/>
        </w:rPr>
      </w:pPr>
    </w:p>
    <w:p w14:paraId="78315A00" w14:textId="77777777" w:rsidR="008F44F2" w:rsidRPr="006F671C" w:rsidRDefault="008F44F2" w:rsidP="006B2833">
      <w:pPr>
        <w:pStyle w:val="NormalWeb"/>
        <w:spacing w:before="0" w:beforeAutospacing="0" w:after="0" w:afterAutospacing="0"/>
        <w:ind w:left="720"/>
        <w:rPr>
          <w:rFonts w:asciiTheme="minorHAnsi" w:hAnsiTheme="minorHAnsi" w:cstheme="minorHAnsi"/>
          <w:sz w:val="22"/>
          <w:szCs w:val="22"/>
        </w:rPr>
      </w:pPr>
      <w:r w:rsidRPr="006F671C">
        <w:rPr>
          <w:rFonts w:asciiTheme="minorHAnsi" w:hAnsiTheme="minorHAnsi" w:cstheme="minorHAnsi"/>
          <w:sz w:val="22"/>
          <w:szCs w:val="22"/>
        </w:rPr>
        <w:t xml:space="preserve">In addition, individuals may exercise control directly or indirectly, through board representation, ownership, rights associated with financing arrangements, or control over intermediary entities that separately or collectively exercise substantial control. </w:t>
      </w:r>
    </w:p>
    <w:p w14:paraId="18569FD9" w14:textId="77777777" w:rsidR="008F44F2" w:rsidRPr="006F671C" w:rsidRDefault="008F44F2" w:rsidP="006B2833">
      <w:pPr>
        <w:pStyle w:val="NormalWeb"/>
        <w:spacing w:before="0" w:beforeAutospacing="0" w:after="0" w:afterAutospacing="0"/>
        <w:ind w:left="720"/>
        <w:rPr>
          <w:rFonts w:asciiTheme="minorHAnsi" w:hAnsiTheme="minorHAnsi" w:cstheme="minorHAnsi"/>
          <w:sz w:val="22"/>
          <w:szCs w:val="22"/>
        </w:rPr>
      </w:pPr>
    </w:p>
    <w:p w14:paraId="4E3F0666" w14:textId="5FABC609" w:rsidR="008F44F2" w:rsidRPr="00960BD5" w:rsidRDefault="008F44F2" w:rsidP="006B2833">
      <w:pPr>
        <w:pStyle w:val="NormalWeb"/>
        <w:spacing w:before="0" w:beforeAutospacing="0" w:after="0" w:afterAutospacing="0"/>
        <w:ind w:left="720"/>
        <w:rPr>
          <w:rFonts w:asciiTheme="minorHAnsi" w:hAnsiTheme="minorHAnsi" w:cstheme="minorHAnsi"/>
          <w:b/>
          <w:bCs/>
          <w:sz w:val="22"/>
          <w:szCs w:val="22"/>
        </w:rPr>
      </w:pPr>
      <w:r w:rsidRPr="00960BD5">
        <w:rPr>
          <w:rFonts w:asciiTheme="minorHAnsi" w:hAnsiTheme="minorHAnsi" w:cstheme="minorHAnsi"/>
          <w:b/>
          <w:bCs/>
          <w:sz w:val="22"/>
          <w:szCs w:val="22"/>
        </w:rPr>
        <w:t>CTA regulations provide a much more expansive definition of “substantial control” than in the traditional tax sense</w:t>
      </w:r>
      <w:r w:rsidR="008D454E">
        <w:rPr>
          <w:rFonts w:asciiTheme="minorHAnsi" w:hAnsiTheme="minorHAnsi" w:cstheme="minorHAnsi"/>
          <w:b/>
          <w:bCs/>
          <w:sz w:val="22"/>
          <w:szCs w:val="22"/>
        </w:rPr>
        <w:t xml:space="preserve"> of</w:t>
      </w:r>
      <w:r w:rsidR="00772848">
        <w:rPr>
          <w:rFonts w:asciiTheme="minorHAnsi" w:hAnsiTheme="minorHAnsi" w:cstheme="minorHAnsi"/>
          <w:b/>
          <w:bCs/>
          <w:sz w:val="22"/>
          <w:szCs w:val="22"/>
        </w:rPr>
        <w:t xml:space="preserve"> assessing</w:t>
      </w:r>
      <w:r w:rsidR="008D454E">
        <w:rPr>
          <w:rFonts w:asciiTheme="minorHAnsi" w:hAnsiTheme="minorHAnsi" w:cstheme="minorHAnsi"/>
          <w:b/>
          <w:bCs/>
          <w:sz w:val="22"/>
          <w:szCs w:val="22"/>
        </w:rPr>
        <w:t xml:space="preserve"> “ownership</w:t>
      </w:r>
      <w:r w:rsidR="00772848">
        <w:rPr>
          <w:rFonts w:asciiTheme="minorHAnsi" w:hAnsiTheme="minorHAnsi" w:cstheme="minorHAnsi"/>
          <w:b/>
          <w:bCs/>
          <w:sz w:val="22"/>
          <w:szCs w:val="22"/>
        </w:rPr>
        <w:t xml:space="preserve"> interest</w:t>
      </w:r>
      <w:r w:rsidR="002952F0">
        <w:rPr>
          <w:rFonts w:asciiTheme="minorHAnsi" w:hAnsiTheme="minorHAnsi" w:cstheme="minorHAnsi"/>
          <w:b/>
          <w:bCs/>
          <w:sz w:val="22"/>
          <w:szCs w:val="22"/>
        </w:rPr>
        <w:t>,</w:t>
      </w:r>
      <w:r w:rsidR="008D454E">
        <w:rPr>
          <w:rFonts w:asciiTheme="minorHAnsi" w:hAnsiTheme="minorHAnsi" w:cstheme="minorHAnsi"/>
          <w:b/>
          <w:bCs/>
          <w:sz w:val="22"/>
          <w:szCs w:val="22"/>
        </w:rPr>
        <w:t>”</w:t>
      </w:r>
      <w:r w:rsidRPr="00960BD5">
        <w:rPr>
          <w:rFonts w:asciiTheme="minorHAnsi" w:hAnsiTheme="minorHAnsi" w:cstheme="minorHAnsi"/>
          <w:b/>
          <w:bCs/>
          <w:sz w:val="22"/>
          <w:szCs w:val="22"/>
        </w:rPr>
        <w:t xml:space="preserve"> so </w:t>
      </w:r>
      <w:r w:rsidR="00960BD5">
        <w:rPr>
          <w:rFonts w:asciiTheme="minorHAnsi" w:hAnsiTheme="minorHAnsi" w:cstheme="minorHAnsi"/>
          <w:b/>
          <w:bCs/>
          <w:sz w:val="22"/>
          <w:szCs w:val="22"/>
        </w:rPr>
        <w:t>merely relying on ownership information from a</w:t>
      </w:r>
      <w:r w:rsidR="008D454E">
        <w:rPr>
          <w:rFonts w:asciiTheme="minorHAnsi" w:hAnsiTheme="minorHAnsi" w:cstheme="minorHAnsi"/>
          <w:b/>
          <w:bCs/>
          <w:sz w:val="22"/>
          <w:szCs w:val="22"/>
        </w:rPr>
        <w:t>n entity’s</w:t>
      </w:r>
      <w:r w:rsidR="00960BD5">
        <w:rPr>
          <w:rFonts w:asciiTheme="minorHAnsi" w:hAnsiTheme="minorHAnsi" w:cstheme="minorHAnsi"/>
          <w:b/>
          <w:bCs/>
          <w:sz w:val="22"/>
          <w:szCs w:val="22"/>
        </w:rPr>
        <w:t xml:space="preserve"> tax return would NOT be appropriate or prudent. M</w:t>
      </w:r>
      <w:r w:rsidRPr="00960BD5">
        <w:rPr>
          <w:rFonts w:asciiTheme="minorHAnsi" w:hAnsiTheme="minorHAnsi" w:cstheme="minorHAnsi"/>
          <w:b/>
          <w:bCs/>
          <w:sz w:val="22"/>
          <w:szCs w:val="22"/>
        </w:rPr>
        <w:t xml:space="preserve">any companies may need to seek legal guidance to determine </w:t>
      </w:r>
      <w:r w:rsidR="00AD152A">
        <w:rPr>
          <w:rFonts w:asciiTheme="minorHAnsi" w:hAnsiTheme="minorHAnsi" w:cstheme="minorHAnsi"/>
          <w:b/>
          <w:bCs/>
          <w:sz w:val="22"/>
          <w:szCs w:val="22"/>
        </w:rPr>
        <w:t xml:space="preserve">their organization’s </w:t>
      </w:r>
      <w:r w:rsidRPr="00960BD5">
        <w:rPr>
          <w:rFonts w:asciiTheme="minorHAnsi" w:hAnsiTheme="minorHAnsi" w:cstheme="minorHAnsi"/>
          <w:b/>
          <w:bCs/>
          <w:sz w:val="22"/>
          <w:szCs w:val="22"/>
        </w:rPr>
        <w:t xml:space="preserve">beneficial owners. </w:t>
      </w:r>
    </w:p>
    <w:p w14:paraId="3ACA0538" w14:textId="77777777" w:rsidR="00ED064A" w:rsidRDefault="00ED064A" w:rsidP="006B2833">
      <w:pPr>
        <w:shd w:val="clear" w:color="auto" w:fill="FFFFFF"/>
        <w:autoSpaceDE w:val="0"/>
        <w:autoSpaceDN w:val="0"/>
        <w:adjustRightInd w:val="0"/>
        <w:spacing w:after="0" w:line="240" w:lineRule="auto"/>
        <w:ind w:left="720"/>
        <w:rPr>
          <w:rFonts w:cstheme="minorHAnsi"/>
          <w:color w:val="202124"/>
          <w:shd w:val="clear" w:color="auto" w:fill="FFFFFF"/>
        </w:rPr>
      </w:pPr>
    </w:p>
    <w:p w14:paraId="23FE4399" w14:textId="282778E8" w:rsidR="00930311" w:rsidRPr="006F671C" w:rsidRDefault="00930311" w:rsidP="006B2833">
      <w:pPr>
        <w:shd w:val="clear" w:color="auto" w:fill="FFFFFF"/>
        <w:autoSpaceDE w:val="0"/>
        <w:autoSpaceDN w:val="0"/>
        <w:adjustRightInd w:val="0"/>
        <w:spacing w:after="0" w:line="240" w:lineRule="auto"/>
        <w:ind w:left="720"/>
        <w:rPr>
          <w:rFonts w:cstheme="minorHAnsi"/>
          <w:color w:val="202124"/>
          <w:shd w:val="clear" w:color="auto" w:fill="FFFFFF"/>
        </w:rPr>
      </w:pPr>
      <w:r w:rsidRPr="006F671C">
        <w:rPr>
          <w:rFonts w:cstheme="minorHAnsi"/>
          <w:color w:val="202124"/>
          <w:shd w:val="clear" w:color="auto" w:fill="FFFFFF"/>
        </w:rPr>
        <w:t xml:space="preserve">Refer </w:t>
      </w:r>
      <w:r w:rsidRPr="00C75C5B">
        <w:rPr>
          <w:rFonts w:cstheme="minorHAnsi"/>
          <w:color w:val="202124"/>
          <w:shd w:val="clear" w:color="auto" w:fill="FFFFFF"/>
        </w:rPr>
        <w:t xml:space="preserve">to </w:t>
      </w:r>
      <w:hyperlink r:id="rId11" w:history="1">
        <w:r w:rsidRPr="00C75C5B">
          <w:rPr>
            <w:rStyle w:val="Hyperlink"/>
            <w:rFonts w:cstheme="minorHAnsi"/>
          </w:rPr>
          <w:t>Reference Materials | FinCEN.gov</w:t>
        </w:r>
      </w:hyperlink>
      <w:r w:rsidRPr="006F671C">
        <w:rPr>
          <w:rFonts w:cstheme="minorHAnsi"/>
        </w:rPr>
        <w:t xml:space="preserve"> for additional information. </w:t>
      </w:r>
    </w:p>
    <w:p w14:paraId="37E65292" w14:textId="6CF8BD6E" w:rsidR="0036474F" w:rsidRPr="00C15B67" w:rsidRDefault="0036474F" w:rsidP="0036474F">
      <w:pPr>
        <w:pStyle w:val="NormalWeb"/>
        <w:shd w:val="clear" w:color="auto" w:fill="FFFFFF"/>
        <w:spacing w:before="240" w:beforeAutospacing="0" w:after="240" w:afterAutospacing="0"/>
        <w:rPr>
          <w:rFonts w:asciiTheme="minorHAnsi" w:hAnsiTheme="minorHAnsi" w:cstheme="minorHAnsi"/>
          <w:b/>
          <w:bCs/>
          <w:sz w:val="22"/>
          <w:szCs w:val="22"/>
        </w:rPr>
      </w:pPr>
      <w:r w:rsidRPr="00B40DE7">
        <w:rPr>
          <w:rFonts w:asciiTheme="minorHAnsi" w:hAnsiTheme="minorHAnsi" w:cstheme="minorHAnsi"/>
          <w:b/>
          <w:bCs/>
          <w:sz w:val="22"/>
          <w:szCs w:val="22"/>
        </w:rPr>
        <w:t xml:space="preserve">Q. </w:t>
      </w:r>
      <w:r w:rsidRPr="00C15B67">
        <w:rPr>
          <w:rFonts w:asciiTheme="minorHAnsi" w:hAnsiTheme="minorHAnsi" w:cstheme="minorHAnsi"/>
          <w:b/>
          <w:bCs/>
          <w:sz w:val="22"/>
          <w:szCs w:val="22"/>
        </w:rPr>
        <w:t xml:space="preserve">What information does a </w:t>
      </w:r>
      <w:r w:rsidR="002952F0">
        <w:rPr>
          <w:rFonts w:asciiTheme="minorHAnsi" w:hAnsiTheme="minorHAnsi" w:cstheme="minorHAnsi"/>
          <w:b/>
          <w:bCs/>
          <w:sz w:val="22"/>
          <w:szCs w:val="22"/>
        </w:rPr>
        <w:t>R</w:t>
      </w:r>
      <w:r w:rsidR="002952F0" w:rsidRPr="00C15B67">
        <w:rPr>
          <w:rFonts w:asciiTheme="minorHAnsi" w:hAnsiTheme="minorHAnsi" w:cstheme="minorHAnsi"/>
          <w:b/>
          <w:bCs/>
          <w:sz w:val="22"/>
          <w:szCs w:val="22"/>
        </w:rPr>
        <w:t xml:space="preserve">eporting </w:t>
      </w:r>
      <w:r w:rsidR="002952F0">
        <w:rPr>
          <w:rFonts w:asciiTheme="minorHAnsi" w:hAnsiTheme="minorHAnsi" w:cstheme="minorHAnsi"/>
          <w:b/>
          <w:bCs/>
          <w:sz w:val="22"/>
          <w:szCs w:val="22"/>
        </w:rPr>
        <w:t>C</w:t>
      </w:r>
      <w:r w:rsidR="002952F0" w:rsidRPr="00C15B67">
        <w:rPr>
          <w:rFonts w:asciiTheme="minorHAnsi" w:hAnsiTheme="minorHAnsi" w:cstheme="minorHAnsi"/>
          <w:b/>
          <w:bCs/>
          <w:sz w:val="22"/>
          <w:szCs w:val="22"/>
        </w:rPr>
        <w:t xml:space="preserve">ompany </w:t>
      </w:r>
      <w:r w:rsidRPr="00C15B67">
        <w:rPr>
          <w:rFonts w:asciiTheme="minorHAnsi" w:hAnsiTheme="minorHAnsi" w:cstheme="minorHAnsi"/>
          <w:b/>
          <w:bCs/>
          <w:sz w:val="22"/>
          <w:szCs w:val="22"/>
        </w:rPr>
        <w:t xml:space="preserve">need to report </w:t>
      </w:r>
      <w:r w:rsidR="00AF1D43">
        <w:rPr>
          <w:rFonts w:asciiTheme="minorHAnsi" w:hAnsiTheme="minorHAnsi" w:cstheme="minorHAnsi"/>
          <w:b/>
          <w:bCs/>
          <w:sz w:val="22"/>
          <w:szCs w:val="22"/>
        </w:rPr>
        <w:t>about its beneficial owners</w:t>
      </w:r>
      <w:r w:rsidR="00761FA8">
        <w:rPr>
          <w:rFonts w:asciiTheme="minorHAnsi" w:hAnsiTheme="minorHAnsi" w:cstheme="minorHAnsi"/>
          <w:b/>
          <w:bCs/>
          <w:sz w:val="22"/>
          <w:szCs w:val="22"/>
        </w:rPr>
        <w:t>,</w:t>
      </w:r>
      <w:r w:rsidR="00AF1D43">
        <w:rPr>
          <w:rFonts w:asciiTheme="minorHAnsi" w:hAnsiTheme="minorHAnsi" w:cstheme="minorHAnsi"/>
          <w:b/>
          <w:bCs/>
          <w:sz w:val="22"/>
          <w:szCs w:val="22"/>
        </w:rPr>
        <w:t xml:space="preserve"> </w:t>
      </w:r>
      <w:r w:rsidRPr="00C15B67">
        <w:rPr>
          <w:rFonts w:asciiTheme="minorHAnsi" w:hAnsiTheme="minorHAnsi" w:cstheme="minorHAnsi"/>
          <w:b/>
          <w:bCs/>
          <w:sz w:val="22"/>
          <w:szCs w:val="22"/>
        </w:rPr>
        <w:t>and how will it be filed?</w:t>
      </w:r>
    </w:p>
    <w:p w14:paraId="19FA7E23" w14:textId="4FBA15BC" w:rsidR="0036474F" w:rsidRDefault="0036474F" w:rsidP="00D94A76">
      <w:pPr>
        <w:pStyle w:val="Heading3"/>
        <w:shd w:val="clear" w:color="auto" w:fill="FFFFFF"/>
        <w:spacing w:before="0"/>
        <w:ind w:left="720"/>
        <w:textAlignment w:val="baseline"/>
        <w:rPr>
          <w:rFonts w:asciiTheme="minorHAnsi" w:hAnsiTheme="minorHAnsi" w:cstheme="minorHAnsi"/>
          <w:color w:val="auto"/>
          <w:sz w:val="22"/>
          <w:szCs w:val="22"/>
        </w:rPr>
      </w:pPr>
      <w:r w:rsidRPr="00C15B67">
        <w:rPr>
          <w:rFonts w:asciiTheme="minorHAnsi" w:hAnsiTheme="minorHAnsi" w:cstheme="minorHAnsi"/>
          <w:b/>
          <w:bCs/>
          <w:color w:val="auto"/>
          <w:sz w:val="22"/>
          <w:szCs w:val="22"/>
        </w:rPr>
        <w:t xml:space="preserve">A. </w:t>
      </w:r>
      <w:r w:rsidRPr="00C15B67">
        <w:rPr>
          <w:rFonts w:asciiTheme="minorHAnsi" w:hAnsiTheme="minorHAnsi" w:cstheme="minorHAnsi"/>
          <w:color w:val="auto"/>
          <w:sz w:val="22"/>
          <w:szCs w:val="22"/>
        </w:rPr>
        <w:t xml:space="preserve">For each beneficial owner, a </w:t>
      </w:r>
      <w:r w:rsidR="00CC22D5">
        <w:rPr>
          <w:rFonts w:asciiTheme="minorHAnsi" w:hAnsiTheme="minorHAnsi" w:cstheme="minorHAnsi"/>
          <w:color w:val="auto"/>
          <w:sz w:val="22"/>
          <w:szCs w:val="22"/>
        </w:rPr>
        <w:t>R</w:t>
      </w:r>
      <w:r w:rsidR="00CC22D5" w:rsidRPr="00C15B67">
        <w:rPr>
          <w:rFonts w:asciiTheme="minorHAnsi" w:hAnsiTheme="minorHAnsi" w:cstheme="minorHAnsi"/>
          <w:color w:val="auto"/>
          <w:sz w:val="22"/>
          <w:szCs w:val="22"/>
        </w:rPr>
        <w:t xml:space="preserve">eporting </w:t>
      </w:r>
      <w:r w:rsidR="00CC22D5">
        <w:rPr>
          <w:rFonts w:asciiTheme="minorHAnsi" w:hAnsiTheme="minorHAnsi" w:cstheme="minorHAnsi"/>
          <w:color w:val="auto"/>
          <w:sz w:val="22"/>
          <w:szCs w:val="22"/>
        </w:rPr>
        <w:t>C</w:t>
      </w:r>
      <w:r w:rsidR="00CC22D5" w:rsidRPr="00C15B67">
        <w:rPr>
          <w:rFonts w:asciiTheme="minorHAnsi" w:hAnsiTheme="minorHAnsi" w:cstheme="minorHAnsi"/>
          <w:color w:val="auto"/>
          <w:sz w:val="22"/>
          <w:szCs w:val="22"/>
        </w:rPr>
        <w:t xml:space="preserve">ompany </w:t>
      </w:r>
      <w:r w:rsidRPr="00C15B67">
        <w:rPr>
          <w:rFonts w:asciiTheme="minorHAnsi" w:hAnsiTheme="minorHAnsi" w:cstheme="minorHAnsi"/>
          <w:color w:val="auto"/>
          <w:sz w:val="22"/>
          <w:szCs w:val="22"/>
        </w:rPr>
        <w:t>will have to provide the name, date of birth, residential address</w:t>
      </w:r>
      <w:r w:rsidR="00D86D6C">
        <w:rPr>
          <w:rFonts w:asciiTheme="minorHAnsi" w:hAnsiTheme="minorHAnsi" w:cstheme="minorHAnsi"/>
          <w:color w:val="auto"/>
          <w:sz w:val="22"/>
          <w:szCs w:val="22"/>
        </w:rPr>
        <w:t>,</w:t>
      </w:r>
      <w:r w:rsidRPr="00C15B67">
        <w:rPr>
          <w:rFonts w:asciiTheme="minorHAnsi" w:hAnsiTheme="minorHAnsi" w:cstheme="minorHAnsi"/>
          <w:color w:val="auto"/>
          <w:sz w:val="22"/>
          <w:szCs w:val="22"/>
        </w:rPr>
        <w:t xml:space="preserve"> and </w:t>
      </w:r>
      <w:r w:rsidR="0065343F" w:rsidRPr="00C15B67">
        <w:rPr>
          <w:rFonts w:asciiTheme="minorHAnsi" w:hAnsiTheme="minorHAnsi" w:cstheme="minorHAnsi"/>
          <w:color w:val="auto"/>
          <w:sz w:val="22"/>
          <w:szCs w:val="22"/>
        </w:rPr>
        <w:t>a</w:t>
      </w:r>
      <w:r w:rsidR="0065343F" w:rsidRPr="00C15B67">
        <w:rPr>
          <w:rFonts w:asciiTheme="minorHAnsi" w:hAnsiTheme="minorHAnsi" w:cstheme="minorHAnsi"/>
          <w:color w:val="333333"/>
          <w:sz w:val="22"/>
          <w:szCs w:val="22"/>
          <w:shd w:val="clear" w:color="auto" w:fill="FFFFFF"/>
        </w:rPr>
        <w:t xml:space="preserve">n identifying number from an acceptable identification document such as a passport or U.S. driver’s license, and the name of the issuing state or jurisdiction of </w:t>
      </w:r>
      <w:r w:rsidR="00C15B67" w:rsidRPr="00C15B67">
        <w:rPr>
          <w:rFonts w:asciiTheme="minorHAnsi" w:hAnsiTheme="minorHAnsi" w:cstheme="minorHAnsi"/>
          <w:color w:val="333333"/>
          <w:sz w:val="22"/>
          <w:szCs w:val="22"/>
          <w:shd w:val="clear" w:color="auto" w:fill="FFFFFF"/>
        </w:rPr>
        <w:t xml:space="preserve">the </w:t>
      </w:r>
      <w:r w:rsidR="0065343F" w:rsidRPr="00C15B67">
        <w:rPr>
          <w:rFonts w:asciiTheme="minorHAnsi" w:hAnsiTheme="minorHAnsi" w:cstheme="minorHAnsi"/>
          <w:color w:val="333333"/>
          <w:sz w:val="22"/>
          <w:szCs w:val="22"/>
          <w:shd w:val="clear" w:color="auto" w:fill="FFFFFF"/>
        </w:rPr>
        <w:t>identification document</w:t>
      </w:r>
      <w:r w:rsidRPr="00C15B67">
        <w:rPr>
          <w:rFonts w:asciiTheme="minorHAnsi" w:hAnsiTheme="minorHAnsi" w:cstheme="minorHAnsi"/>
          <w:color w:val="auto"/>
          <w:sz w:val="22"/>
          <w:szCs w:val="22"/>
        </w:rPr>
        <w:t xml:space="preserve">. </w:t>
      </w:r>
      <w:r w:rsidR="00C15B67" w:rsidRPr="00C15B67">
        <w:rPr>
          <w:rFonts w:asciiTheme="minorHAnsi" w:hAnsiTheme="minorHAnsi" w:cstheme="minorHAnsi"/>
          <w:color w:val="333333"/>
          <w:sz w:val="22"/>
          <w:szCs w:val="22"/>
          <w:shd w:val="clear" w:color="auto" w:fill="FFFFFF"/>
        </w:rPr>
        <w:t xml:space="preserve">The </w:t>
      </w:r>
      <w:r w:rsidR="00CC22D5">
        <w:rPr>
          <w:rFonts w:asciiTheme="minorHAnsi" w:hAnsiTheme="minorHAnsi" w:cstheme="minorHAnsi"/>
          <w:color w:val="333333"/>
          <w:sz w:val="22"/>
          <w:szCs w:val="22"/>
          <w:shd w:val="clear" w:color="auto" w:fill="FFFFFF"/>
        </w:rPr>
        <w:t>R</w:t>
      </w:r>
      <w:r w:rsidR="00CC22D5" w:rsidRPr="00C15B67">
        <w:rPr>
          <w:rFonts w:asciiTheme="minorHAnsi" w:hAnsiTheme="minorHAnsi" w:cstheme="minorHAnsi"/>
          <w:color w:val="333333"/>
          <w:sz w:val="22"/>
          <w:szCs w:val="22"/>
          <w:shd w:val="clear" w:color="auto" w:fill="FFFFFF"/>
        </w:rPr>
        <w:t xml:space="preserve">eporting </w:t>
      </w:r>
      <w:r w:rsidR="00CC22D5">
        <w:rPr>
          <w:rFonts w:asciiTheme="minorHAnsi" w:hAnsiTheme="minorHAnsi" w:cstheme="minorHAnsi"/>
          <w:color w:val="333333"/>
          <w:sz w:val="22"/>
          <w:szCs w:val="22"/>
          <w:shd w:val="clear" w:color="auto" w:fill="FFFFFF"/>
        </w:rPr>
        <w:t>C</w:t>
      </w:r>
      <w:r w:rsidR="00CC22D5" w:rsidRPr="00C15B67">
        <w:rPr>
          <w:rFonts w:asciiTheme="minorHAnsi" w:hAnsiTheme="minorHAnsi" w:cstheme="minorHAnsi"/>
          <w:color w:val="333333"/>
          <w:sz w:val="22"/>
          <w:szCs w:val="22"/>
          <w:shd w:val="clear" w:color="auto" w:fill="FFFFFF"/>
        </w:rPr>
        <w:t xml:space="preserve">ompany </w:t>
      </w:r>
      <w:r w:rsidR="00C15B67" w:rsidRPr="00C15B67">
        <w:rPr>
          <w:rFonts w:asciiTheme="minorHAnsi" w:hAnsiTheme="minorHAnsi" w:cstheme="minorHAnsi"/>
          <w:color w:val="333333"/>
          <w:sz w:val="22"/>
          <w:szCs w:val="22"/>
          <w:shd w:val="clear" w:color="auto" w:fill="FFFFFF"/>
        </w:rPr>
        <w:t xml:space="preserve">will also have to report an image of the identification document used to obtain the identifying number used. </w:t>
      </w:r>
      <w:r w:rsidRPr="00C15B67">
        <w:rPr>
          <w:rFonts w:asciiTheme="minorHAnsi" w:hAnsiTheme="minorHAnsi" w:cstheme="minorHAnsi"/>
          <w:color w:val="auto"/>
          <w:sz w:val="22"/>
          <w:szCs w:val="22"/>
        </w:rPr>
        <w:t xml:space="preserve">Filing will be done through an online portal on the Beneficial Ownership Information Report (BOIR) form, which at the time of this writing </w:t>
      </w:r>
      <w:r w:rsidR="00481975">
        <w:rPr>
          <w:rFonts w:asciiTheme="minorHAnsi" w:hAnsiTheme="minorHAnsi" w:cstheme="minorHAnsi"/>
          <w:color w:val="auto"/>
          <w:sz w:val="22"/>
          <w:szCs w:val="22"/>
        </w:rPr>
        <w:t>remains</w:t>
      </w:r>
      <w:r w:rsidRPr="00C15B67">
        <w:rPr>
          <w:rFonts w:asciiTheme="minorHAnsi" w:hAnsiTheme="minorHAnsi" w:cstheme="minorHAnsi"/>
          <w:color w:val="auto"/>
          <w:sz w:val="22"/>
          <w:szCs w:val="22"/>
        </w:rPr>
        <w:t xml:space="preserve"> under development by FinCEN. </w:t>
      </w:r>
    </w:p>
    <w:p w14:paraId="3F4C177F" w14:textId="77777777" w:rsidR="00CE0086" w:rsidRDefault="00CE0086" w:rsidP="00D94A76">
      <w:pPr>
        <w:shd w:val="clear" w:color="auto" w:fill="FFFFFF"/>
        <w:autoSpaceDE w:val="0"/>
        <w:autoSpaceDN w:val="0"/>
        <w:adjustRightInd w:val="0"/>
        <w:spacing w:after="0" w:line="240" w:lineRule="auto"/>
        <w:ind w:left="720"/>
        <w:rPr>
          <w:rFonts w:cstheme="minorHAnsi"/>
          <w:color w:val="202124"/>
          <w:shd w:val="clear" w:color="auto" w:fill="FFFFFF"/>
        </w:rPr>
      </w:pPr>
    </w:p>
    <w:p w14:paraId="1770829A" w14:textId="39898D46" w:rsidR="00CE0086" w:rsidRPr="006F671C" w:rsidRDefault="00CE0086" w:rsidP="00D94A76">
      <w:pPr>
        <w:shd w:val="clear" w:color="auto" w:fill="FFFFFF"/>
        <w:autoSpaceDE w:val="0"/>
        <w:autoSpaceDN w:val="0"/>
        <w:adjustRightInd w:val="0"/>
        <w:spacing w:after="0" w:line="240" w:lineRule="auto"/>
        <w:ind w:left="720"/>
        <w:rPr>
          <w:rFonts w:cstheme="minorHAnsi"/>
          <w:color w:val="202124"/>
          <w:shd w:val="clear" w:color="auto" w:fill="FFFFFF"/>
        </w:rPr>
      </w:pPr>
      <w:r w:rsidRPr="006F671C">
        <w:rPr>
          <w:rFonts w:cstheme="minorHAnsi"/>
          <w:color w:val="202124"/>
          <w:shd w:val="clear" w:color="auto" w:fill="FFFFFF"/>
        </w:rPr>
        <w:t xml:space="preserve">Refer </w:t>
      </w:r>
      <w:r w:rsidRPr="00C75C5B">
        <w:rPr>
          <w:rFonts w:cstheme="minorHAnsi"/>
          <w:color w:val="202124"/>
          <w:shd w:val="clear" w:color="auto" w:fill="FFFFFF"/>
        </w:rPr>
        <w:t xml:space="preserve">to </w:t>
      </w:r>
      <w:hyperlink r:id="rId12" w:history="1">
        <w:r w:rsidRPr="00C75C5B">
          <w:rPr>
            <w:rStyle w:val="Hyperlink"/>
            <w:rFonts w:cstheme="minorHAnsi"/>
          </w:rPr>
          <w:t>Reference Materials | FinCEN.gov</w:t>
        </w:r>
      </w:hyperlink>
      <w:r w:rsidRPr="00C75C5B">
        <w:rPr>
          <w:rFonts w:cstheme="minorHAnsi"/>
        </w:rPr>
        <w:t xml:space="preserve"> for detailed</w:t>
      </w:r>
      <w:r>
        <w:rPr>
          <w:rFonts w:cstheme="minorHAnsi"/>
        </w:rPr>
        <w:t xml:space="preserve"> </w:t>
      </w:r>
      <w:r w:rsidRPr="006F671C">
        <w:rPr>
          <w:rFonts w:cstheme="minorHAnsi"/>
        </w:rPr>
        <w:t>information</w:t>
      </w:r>
      <w:r w:rsidR="004F5058">
        <w:rPr>
          <w:rFonts w:cstheme="minorHAnsi"/>
        </w:rPr>
        <w:t>.</w:t>
      </w:r>
    </w:p>
    <w:p w14:paraId="270A2B59" w14:textId="10FD823E" w:rsidR="00DB433B" w:rsidRPr="00C15B67" w:rsidRDefault="00DB433B" w:rsidP="00DB433B">
      <w:pPr>
        <w:pStyle w:val="NormalWeb"/>
        <w:shd w:val="clear" w:color="auto" w:fill="FFFFFF"/>
        <w:spacing w:before="240" w:beforeAutospacing="0" w:after="240" w:afterAutospacing="0"/>
        <w:rPr>
          <w:rFonts w:asciiTheme="minorHAnsi" w:hAnsiTheme="minorHAnsi" w:cstheme="minorHAnsi"/>
          <w:b/>
          <w:bCs/>
          <w:sz w:val="22"/>
          <w:szCs w:val="22"/>
        </w:rPr>
      </w:pPr>
      <w:r w:rsidRPr="00B40DE7">
        <w:rPr>
          <w:rFonts w:asciiTheme="minorHAnsi" w:hAnsiTheme="minorHAnsi" w:cstheme="minorHAnsi"/>
          <w:b/>
          <w:bCs/>
          <w:sz w:val="22"/>
          <w:szCs w:val="22"/>
        </w:rPr>
        <w:t xml:space="preserve">Q. </w:t>
      </w:r>
      <w:r>
        <w:rPr>
          <w:rFonts w:asciiTheme="minorHAnsi" w:hAnsiTheme="minorHAnsi" w:cstheme="minorHAnsi"/>
          <w:b/>
          <w:bCs/>
          <w:sz w:val="22"/>
          <w:szCs w:val="22"/>
        </w:rPr>
        <w:t xml:space="preserve">Do all </w:t>
      </w:r>
      <w:r w:rsidR="00BA7BC4">
        <w:rPr>
          <w:rFonts w:asciiTheme="minorHAnsi" w:hAnsiTheme="minorHAnsi" w:cstheme="minorHAnsi"/>
          <w:b/>
          <w:bCs/>
          <w:sz w:val="22"/>
          <w:szCs w:val="22"/>
        </w:rPr>
        <w:t xml:space="preserve">Reporting Companies </w:t>
      </w:r>
      <w:r w:rsidRPr="00C15B67">
        <w:rPr>
          <w:rFonts w:asciiTheme="minorHAnsi" w:hAnsiTheme="minorHAnsi" w:cstheme="minorHAnsi"/>
          <w:b/>
          <w:bCs/>
          <w:sz w:val="22"/>
          <w:szCs w:val="22"/>
        </w:rPr>
        <w:t xml:space="preserve">need to report </w:t>
      </w:r>
      <w:r w:rsidR="00103627">
        <w:rPr>
          <w:rFonts w:asciiTheme="minorHAnsi" w:hAnsiTheme="minorHAnsi" w:cstheme="minorHAnsi"/>
          <w:b/>
          <w:bCs/>
          <w:i/>
          <w:iCs/>
          <w:sz w:val="22"/>
          <w:szCs w:val="22"/>
        </w:rPr>
        <w:t>C</w:t>
      </w:r>
      <w:r w:rsidRPr="00DB433B">
        <w:rPr>
          <w:rFonts w:asciiTheme="minorHAnsi" w:hAnsiTheme="minorHAnsi" w:cstheme="minorHAnsi"/>
          <w:b/>
          <w:bCs/>
          <w:i/>
          <w:iCs/>
          <w:sz w:val="22"/>
          <w:szCs w:val="22"/>
        </w:rPr>
        <w:t xml:space="preserve">ompany </w:t>
      </w:r>
      <w:r w:rsidR="00103627">
        <w:rPr>
          <w:rFonts w:asciiTheme="minorHAnsi" w:hAnsiTheme="minorHAnsi" w:cstheme="minorHAnsi"/>
          <w:b/>
          <w:bCs/>
          <w:i/>
          <w:iCs/>
          <w:sz w:val="22"/>
          <w:szCs w:val="22"/>
        </w:rPr>
        <w:t>A</w:t>
      </w:r>
      <w:r w:rsidRPr="00DB433B">
        <w:rPr>
          <w:rFonts w:asciiTheme="minorHAnsi" w:hAnsiTheme="minorHAnsi" w:cstheme="minorHAnsi"/>
          <w:b/>
          <w:bCs/>
          <w:i/>
          <w:iCs/>
          <w:sz w:val="22"/>
          <w:szCs w:val="22"/>
        </w:rPr>
        <w:t>pplicants</w:t>
      </w:r>
      <w:r w:rsidR="00A01446">
        <w:rPr>
          <w:rStyle w:val="FootnoteReference"/>
          <w:rFonts w:asciiTheme="minorHAnsi" w:hAnsiTheme="minorHAnsi"/>
          <w:b/>
          <w:bCs/>
          <w:i/>
          <w:iCs/>
          <w:sz w:val="22"/>
          <w:szCs w:val="22"/>
        </w:rPr>
        <w:footnoteReference w:id="4"/>
      </w:r>
      <w:r w:rsidRPr="00C15B67">
        <w:rPr>
          <w:rFonts w:asciiTheme="minorHAnsi" w:hAnsiTheme="minorHAnsi" w:cstheme="minorHAnsi"/>
          <w:b/>
          <w:bCs/>
          <w:sz w:val="22"/>
          <w:szCs w:val="22"/>
        </w:rPr>
        <w:t>?</w:t>
      </w:r>
    </w:p>
    <w:p w14:paraId="5FC4661A" w14:textId="5176EA4F" w:rsidR="00A01446" w:rsidRPr="006F671C" w:rsidRDefault="00DB433B" w:rsidP="00E61837">
      <w:pPr>
        <w:shd w:val="clear" w:color="auto" w:fill="FFFFFF"/>
        <w:spacing w:after="0" w:line="240" w:lineRule="auto"/>
        <w:ind w:left="720"/>
        <w:rPr>
          <w:rFonts w:cstheme="minorHAnsi"/>
        </w:rPr>
      </w:pPr>
      <w:r w:rsidRPr="00C15B67">
        <w:rPr>
          <w:rFonts w:cstheme="minorHAnsi"/>
          <w:b/>
          <w:bCs/>
        </w:rPr>
        <w:t xml:space="preserve">A. </w:t>
      </w:r>
      <w:r>
        <w:rPr>
          <w:rFonts w:cstheme="minorHAnsi"/>
        </w:rPr>
        <w:t xml:space="preserve">No, </w:t>
      </w:r>
      <w:r w:rsidR="00A01446">
        <w:rPr>
          <w:rFonts w:cstheme="minorHAnsi"/>
        </w:rPr>
        <w:t xml:space="preserve">only </w:t>
      </w:r>
      <w:r w:rsidR="00A01446" w:rsidRPr="006F671C">
        <w:rPr>
          <w:rStyle w:val="Strong"/>
          <w:rFonts w:cstheme="minorHAnsi"/>
        </w:rPr>
        <w:t xml:space="preserve">new </w:t>
      </w:r>
      <w:r w:rsidR="00A01446" w:rsidRPr="006F671C">
        <w:rPr>
          <w:rFonts w:cstheme="minorHAnsi"/>
        </w:rPr>
        <w:t xml:space="preserve">Reporting Companies — those formed (or, in the case of non-U.S. companies, registered) on or after January 1, 2024 — must report </w:t>
      </w:r>
      <w:r w:rsidR="0059611A">
        <w:rPr>
          <w:rFonts w:cstheme="minorHAnsi"/>
        </w:rPr>
        <w:t xml:space="preserve">Company Applicants </w:t>
      </w:r>
      <w:r w:rsidR="00A01446">
        <w:rPr>
          <w:rFonts w:cstheme="minorHAnsi"/>
        </w:rPr>
        <w:t>to FinCEN</w:t>
      </w:r>
      <w:r w:rsidR="00A01446" w:rsidRPr="006F671C">
        <w:rPr>
          <w:rFonts w:cstheme="minorHAnsi"/>
        </w:rPr>
        <w:t>.</w:t>
      </w:r>
    </w:p>
    <w:p w14:paraId="476E8170" w14:textId="0C8DEBDC" w:rsidR="003028B1" w:rsidRDefault="003028B1" w:rsidP="00DB433B">
      <w:pPr>
        <w:pStyle w:val="NormalWeb"/>
        <w:shd w:val="clear" w:color="auto" w:fill="FFFFFF"/>
        <w:spacing w:before="0" w:beforeAutospacing="0" w:after="0" w:afterAutospacing="0" w:line="345" w:lineRule="atLeast"/>
        <w:textAlignment w:val="baseline"/>
        <w:rPr>
          <w:rFonts w:asciiTheme="minorHAnsi" w:hAnsiTheme="minorHAnsi" w:cstheme="minorHAnsi"/>
          <w:sz w:val="22"/>
          <w:szCs w:val="22"/>
        </w:rPr>
      </w:pPr>
    </w:p>
    <w:p w14:paraId="6A438CF2" w14:textId="77777777" w:rsidR="006C6E03" w:rsidRDefault="006C6E03">
      <w:pPr>
        <w:rPr>
          <w:rFonts w:eastAsiaTheme="majorEastAsia" w:cstheme="minorHAnsi"/>
          <w:b/>
          <w:bCs/>
        </w:rPr>
      </w:pPr>
      <w:r>
        <w:rPr>
          <w:rFonts w:cstheme="minorHAnsi"/>
          <w:b/>
          <w:bCs/>
        </w:rPr>
        <w:br w:type="page"/>
      </w:r>
    </w:p>
    <w:p w14:paraId="54F5AE8F" w14:textId="49C01DC9" w:rsidR="00CC40D4" w:rsidRPr="006F671C" w:rsidRDefault="00CC40D4" w:rsidP="006F671C">
      <w:pPr>
        <w:pStyle w:val="Heading2"/>
        <w:shd w:val="clear" w:color="auto" w:fill="FFFFFF"/>
        <w:spacing w:before="0"/>
        <w:rPr>
          <w:rFonts w:asciiTheme="minorHAnsi" w:hAnsiTheme="minorHAnsi" w:cstheme="minorHAnsi"/>
          <w:b/>
          <w:bCs/>
          <w:color w:val="auto"/>
          <w:sz w:val="22"/>
          <w:szCs w:val="22"/>
        </w:rPr>
      </w:pPr>
      <w:r w:rsidRPr="006F671C">
        <w:rPr>
          <w:rFonts w:asciiTheme="minorHAnsi" w:hAnsiTheme="minorHAnsi" w:cstheme="minorHAnsi"/>
          <w:b/>
          <w:bCs/>
          <w:color w:val="auto"/>
          <w:sz w:val="22"/>
          <w:szCs w:val="22"/>
        </w:rPr>
        <w:lastRenderedPageBreak/>
        <w:t xml:space="preserve">Q. What are the </w:t>
      </w:r>
      <w:r w:rsidR="00EB447D" w:rsidRPr="006F671C">
        <w:rPr>
          <w:rFonts w:asciiTheme="minorHAnsi" w:hAnsiTheme="minorHAnsi" w:cstheme="minorHAnsi"/>
          <w:b/>
          <w:bCs/>
          <w:color w:val="auto"/>
          <w:sz w:val="22"/>
          <w:szCs w:val="22"/>
        </w:rPr>
        <w:t xml:space="preserve">current </w:t>
      </w:r>
      <w:r w:rsidRPr="006F671C">
        <w:rPr>
          <w:rFonts w:asciiTheme="minorHAnsi" w:hAnsiTheme="minorHAnsi" w:cstheme="minorHAnsi"/>
          <w:b/>
          <w:bCs/>
          <w:color w:val="auto"/>
          <w:sz w:val="22"/>
          <w:szCs w:val="22"/>
        </w:rPr>
        <w:t>deadlines for compliance with the new BOI reporting requirements?</w:t>
      </w:r>
    </w:p>
    <w:p w14:paraId="7036770B" w14:textId="77777777" w:rsidR="00CC40D4" w:rsidRPr="006F671C" w:rsidRDefault="00CC40D4" w:rsidP="006F671C">
      <w:pPr>
        <w:pStyle w:val="NormalWeb"/>
        <w:shd w:val="clear" w:color="auto" w:fill="FFFFFF"/>
        <w:spacing w:before="0" w:beforeAutospacing="0" w:after="0" w:afterAutospacing="0"/>
        <w:rPr>
          <w:rFonts w:asciiTheme="minorHAnsi" w:hAnsiTheme="minorHAnsi" w:cstheme="minorHAnsi"/>
          <w:sz w:val="22"/>
          <w:szCs w:val="22"/>
        </w:rPr>
      </w:pPr>
    </w:p>
    <w:p w14:paraId="7481CBB1" w14:textId="33348348" w:rsidR="00CC40D4" w:rsidRPr="006F671C" w:rsidRDefault="00CC40D4" w:rsidP="005079AF">
      <w:pPr>
        <w:pStyle w:val="NormalWeb"/>
        <w:shd w:val="clear" w:color="auto" w:fill="FFFFFF"/>
        <w:spacing w:before="0" w:beforeAutospacing="0" w:after="0" w:afterAutospacing="0"/>
        <w:ind w:left="720"/>
        <w:rPr>
          <w:rFonts w:asciiTheme="minorHAnsi" w:hAnsiTheme="minorHAnsi" w:cstheme="minorHAnsi"/>
          <w:sz w:val="22"/>
          <w:szCs w:val="22"/>
        </w:rPr>
      </w:pPr>
      <w:r w:rsidRPr="006F671C">
        <w:rPr>
          <w:rFonts w:asciiTheme="minorHAnsi" w:hAnsiTheme="minorHAnsi" w:cstheme="minorHAnsi"/>
          <w:b/>
          <w:bCs/>
          <w:sz w:val="22"/>
          <w:szCs w:val="22"/>
        </w:rPr>
        <w:t>A.</w:t>
      </w:r>
      <w:r w:rsidRPr="006F671C">
        <w:rPr>
          <w:rFonts w:asciiTheme="minorHAnsi" w:hAnsiTheme="minorHAnsi" w:cstheme="minorHAnsi"/>
          <w:sz w:val="22"/>
          <w:szCs w:val="22"/>
        </w:rPr>
        <w:t xml:space="preserve"> As currently promulgated, the CTA’s reporting </w:t>
      </w:r>
      <w:r w:rsidR="00CF7E7F">
        <w:rPr>
          <w:rFonts w:asciiTheme="minorHAnsi" w:hAnsiTheme="minorHAnsi" w:cstheme="minorHAnsi"/>
          <w:sz w:val="22"/>
          <w:szCs w:val="22"/>
        </w:rPr>
        <w:t>deadlines are as follows</w:t>
      </w:r>
      <w:r w:rsidRPr="006F671C">
        <w:rPr>
          <w:rFonts w:asciiTheme="minorHAnsi" w:hAnsiTheme="minorHAnsi" w:cstheme="minorHAnsi"/>
          <w:sz w:val="22"/>
          <w:szCs w:val="22"/>
        </w:rPr>
        <w:t>:</w:t>
      </w:r>
    </w:p>
    <w:p w14:paraId="6A91D878" w14:textId="77777777" w:rsidR="00EB447D" w:rsidRPr="006F671C" w:rsidRDefault="00EB447D" w:rsidP="00FB631C">
      <w:pPr>
        <w:pStyle w:val="NormalWeb"/>
        <w:shd w:val="clear" w:color="auto" w:fill="FFFFFF"/>
        <w:spacing w:before="0" w:beforeAutospacing="0" w:after="0" w:afterAutospacing="0"/>
        <w:ind w:left="360"/>
        <w:rPr>
          <w:rFonts w:asciiTheme="minorHAnsi" w:hAnsiTheme="minorHAnsi" w:cstheme="minorHAnsi"/>
          <w:sz w:val="22"/>
          <w:szCs w:val="22"/>
        </w:rPr>
      </w:pPr>
    </w:p>
    <w:p w14:paraId="32703851" w14:textId="423C23EF" w:rsidR="00CC40D4" w:rsidRDefault="00CC40D4" w:rsidP="00FB631C">
      <w:pPr>
        <w:numPr>
          <w:ilvl w:val="0"/>
          <w:numId w:val="21"/>
        </w:numPr>
        <w:shd w:val="clear" w:color="auto" w:fill="FFFFFF"/>
        <w:tabs>
          <w:tab w:val="clear" w:pos="720"/>
          <w:tab w:val="num" w:pos="2160"/>
        </w:tabs>
        <w:spacing w:after="0" w:line="240" w:lineRule="auto"/>
        <w:ind w:left="1080"/>
        <w:rPr>
          <w:rFonts w:cstheme="minorHAnsi"/>
        </w:rPr>
      </w:pPr>
      <w:r w:rsidRPr="006F671C">
        <w:rPr>
          <w:rFonts w:cstheme="minorHAnsi"/>
        </w:rPr>
        <w:t xml:space="preserve">All </w:t>
      </w:r>
      <w:r w:rsidRPr="006F671C">
        <w:rPr>
          <w:rStyle w:val="Strong"/>
          <w:rFonts w:cstheme="minorHAnsi"/>
        </w:rPr>
        <w:t xml:space="preserve">new </w:t>
      </w:r>
      <w:r w:rsidRPr="006F671C">
        <w:rPr>
          <w:rFonts w:cstheme="minorHAnsi"/>
        </w:rPr>
        <w:t xml:space="preserve">Reporting Companies — those formed (or, in the case of non-U.S. companies, registered) on or after January 1, 2024 — must report required information </w:t>
      </w:r>
      <w:r w:rsidRPr="006F671C">
        <w:rPr>
          <w:rFonts w:cstheme="minorHAnsi"/>
          <w:b/>
          <w:bCs/>
        </w:rPr>
        <w:t>within 90</w:t>
      </w:r>
      <w:r w:rsidRPr="006F671C">
        <w:rPr>
          <w:rStyle w:val="FootnoteReference"/>
          <w:rFonts w:cstheme="minorHAnsi"/>
          <w:b/>
          <w:bCs/>
        </w:rPr>
        <w:footnoteReference w:id="5"/>
      </w:r>
      <w:r w:rsidRPr="006F671C">
        <w:rPr>
          <w:rFonts w:cstheme="minorHAnsi"/>
          <w:b/>
          <w:bCs/>
        </w:rPr>
        <w:t xml:space="preserve"> days</w:t>
      </w:r>
      <w:r w:rsidRPr="006F671C">
        <w:rPr>
          <w:rFonts w:cstheme="minorHAnsi"/>
        </w:rPr>
        <w:t xml:space="preserve"> after their formation or registration.</w:t>
      </w:r>
    </w:p>
    <w:p w14:paraId="6946370C" w14:textId="77777777" w:rsidR="00292A02" w:rsidRPr="006F671C" w:rsidRDefault="00292A02" w:rsidP="00292A02">
      <w:pPr>
        <w:shd w:val="clear" w:color="auto" w:fill="FFFFFF"/>
        <w:spacing w:after="0" w:line="240" w:lineRule="auto"/>
        <w:ind w:left="1080"/>
        <w:rPr>
          <w:rFonts w:cstheme="minorHAnsi"/>
        </w:rPr>
      </w:pPr>
    </w:p>
    <w:p w14:paraId="162D4E60" w14:textId="77777777" w:rsidR="00CC40D4" w:rsidRDefault="00CC40D4" w:rsidP="00FB631C">
      <w:pPr>
        <w:numPr>
          <w:ilvl w:val="0"/>
          <w:numId w:val="21"/>
        </w:numPr>
        <w:shd w:val="clear" w:color="auto" w:fill="FFFFFF"/>
        <w:tabs>
          <w:tab w:val="clear" w:pos="720"/>
          <w:tab w:val="num" w:pos="1800"/>
        </w:tabs>
        <w:spacing w:line="240" w:lineRule="auto"/>
        <w:ind w:left="1080"/>
        <w:rPr>
          <w:rFonts w:cstheme="minorHAnsi"/>
        </w:rPr>
      </w:pPr>
      <w:r w:rsidRPr="006F671C">
        <w:rPr>
          <w:rFonts w:cstheme="minorHAnsi"/>
        </w:rPr>
        <w:t xml:space="preserve">All </w:t>
      </w:r>
      <w:r w:rsidRPr="006F671C">
        <w:rPr>
          <w:rStyle w:val="Strong"/>
          <w:rFonts w:cstheme="minorHAnsi"/>
        </w:rPr>
        <w:t xml:space="preserve">existing </w:t>
      </w:r>
      <w:r w:rsidRPr="006F671C">
        <w:rPr>
          <w:rFonts w:cstheme="minorHAnsi"/>
        </w:rPr>
        <w:t xml:space="preserve">Reporting Companies — those formed or registered before January 1, 2024 — must report required information </w:t>
      </w:r>
      <w:r w:rsidRPr="006F671C">
        <w:rPr>
          <w:rStyle w:val="Strong"/>
          <w:rFonts w:cstheme="minorHAnsi"/>
        </w:rPr>
        <w:t xml:space="preserve">no later than </w:t>
      </w:r>
      <w:r w:rsidRPr="006F671C">
        <w:rPr>
          <w:rFonts w:cstheme="minorHAnsi"/>
        </w:rPr>
        <w:t>January 1, 2025.</w:t>
      </w:r>
    </w:p>
    <w:p w14:paraId="2A398515" w14:textId="1522F752" w:rsidR="00B8544F" w:rsidRDefault="00B8544F" w:rsidP="00FB631C">
      <w:pPr>
        <w:numPr>
          <w:ilvl w:val="0"/>
          <w:numId w:val="21"/>
        </w:numPr>
        <w:shd w:val="clear" w:color="auto" w:fill="FFFFFF"/>
        <w:tabs>
          <w:tab w:val="clear" w:pos="720"/>
          <w:tab w:val="num" w:pos="1800"/>
        </w:tabs>
        <w:spacing w:line="240" w:lineRule="auto"/>
        <w:ind w:left="1080"/>
        <w:rPr>
          <w:rFonts w:cstheme="minorHAnsi"/>
        </w:rPr>
      </w:pPr>
      <w:r w:rsidRPr="006D0646">
        <w:rPr>
          <w:rFonts w:cstheme="minorHAnsi"/>
          <w:b/>
          <w:bCs/>
        </w:rPr>
        <w:t xml:space="preserve">Updated </w:t>
      </w:r>
      <w:r w:rsidR="00773B5D" w:rsidRPr="006D0646">
        <w:rPr>
          <w:rFonts w:cstheme="minorHAnsi"/>
          <w:b/>
          <w:bCs/>
        </w:rPr>
        <w:t xml:space="preserve">BOI </w:t>
      </w:r>
      <w:r w:rsidRPr="006D0646">
        <w:rPr>
          <w:rFonts w:cstheme="minorHAnsi"/>
          <w:b/>
          <w:bCs/>
        </w:rPr>
        <w:t>reports</w:t>
      </w:r>
      <w:r>
        <w:rPr>
          <w:rFonts w:cstheme="minorHAnsi"/>
        </w:rPr>
        <w:t xml:space="preserve"> will be due within </w:t>
      </w:r>
      <w:r w:rsidRPr="00A71546">
        <w:rPr>
          <w:rFonts w:cstheme="minorHAnsi"/>
          <w:b/>
          <w:bCs/>
        </w:rPr>
        <w:t>30 calendar days</w:t>
      </w:r>
      <w:r>
        <w:rPr>
          <w:rFonts w:cstheme="minorHAnsi"/>
        </w:rPr>
        <w:t xml:space="preserve"> after a change occurs</w:t>
      </w:r>
      <w:r w:rsidR="00A71546">
        <w:rPr>
          <w:rFonts w:cstheme="minorHAnsi"/>
        </w:rPr>
        <w:t>.</w:t>
      </w:r>
      <w:r w:rsidR="00A71546">
        <w:rPr>
          <w:rStyle w:val="FootnoteReference"/>
        </w:rPr>
        <w:footnoteReference w:id="6"/>
      </w:r>
    </w:p>
    <w:p w14:paraId="38279C94" w14:textId="34D81459" w:rsidR="00150AEF" w:rsidRDefault="00150AEF" w:rsidP="00FB631C">
      <w:pPr>
        <w:numPr>
          <w:ilvl w:val="0"/>
          <w:numId w:val="21"/>
        </w:numPr>
        <w:shd w:val="clear" w:color="auto" w:fill="FFFFFF"/>
        <w:tabs>
          <w:tab w:val="clear" w:pos="720"/>
          <w:tab w:val="num" w:pos="1440"/>
        </w:tabs>
        <w:spacing w:line="240" w:lineRule="auto"/>
        <w:ind w:left="1080"/>
        <w:rPr>
          <w:rFonts w:cstheme="minorHAnsi"/>
        </w:rPr>
      </w:pPr>
      <w:r w:rsidRPr="006D0646">
        <w:rPr>
          <w:rFonts w:cstheme="minorHAnsi"/>
          <w:b/>
          <w:bCs/>
        </w:rPr>
        <w:t xml:space="preserve">Corrected </w:t>
      </w:r>
      <w:r w:rsidR="006D0646">
        <w:rPr>
          <w:rFonts w:cstheme="minorHAnsi"/>
          <w:b/>
          <w:bCs/>
        </w:rPr>
        <w:t xml:space="preserve">BOI </w:t>
      </w:r>
      <w:r w:rsidRPr="006D0646">
        <w:rPr>
          <w:rFonts w:cstheme="minorHAnsi"/>
          <w:b/>
          <w:bCs/>
        </w:rPr>
        <w:t>reports</w:t>
      </w:r>
      <w:r>
        <w:rPr>
          <w:rFonts w:cstheme="minorHAnsi"/>
        </w:rPr>
        <w:t xml:space="preserve"> will be due within </w:t>
      </w:r>
      <w:r w:rsidRPr="00A71546">
        <w:rPr>
          <w:rFonts w:cstheme="minorHAnsi"/>
          <w:b/>
          <w:bCs/>
        </w:rPr>
        <w:t>30 calendar days</w:t>
      </w:r>
      <w:r>
        <w:rPr>
          <w:rFonts w:cstheme="minorHAnsi"/>
        </w:rPr>
        <w:t xml:space="preserve"> after the </w:t>
      </w:r>
      <w:r w:rsidR="00BA7BC4">
        <w:rPr>
          <w:rFonts w:cstheme="minorHAnsi"/>
        </w:rPr>
        <w:t xml:space="preserve">Reporting Company </w:t>
      </w:r>
      <w:r>
        <w:rPr>
          <w:rFonts w:cstheme="minorHAnsi"/>
        </w:rPr>
        <w:t>becomes aware of, or has reason to know of, an inaccuracy.</w:t>
      </w:r>
      <w:r>
        <w:rPr>
          <w:rStyle w:val="FootnoteReference"/>
        </w:rPr>
        <w:footnoteReference w:id="7"/>
      </w:r>
    </w:p>
    <w:p w14:paraId="65977142" w14:textId="3B73CC01" w:rsidR="0004681B" w:rsidRPr="00CE0086" w:rsidRDefault="00CE0086" w:rsidP="001F0AFC">
      <w:pPr>
        <w:shd w:val="clear" w:color="auto" w:fill="FFFFFF"/>
        <w:autoSpaceDE w:val="0"/>
        <w:autoSpaceDN w:val="0"/>
        <w:adjustRightInd w:val="0"/>
        <w:spacing w:after="0" w:line="240" w:lineRule="auto"/>
        <w:ind w:left="720"/>
        <w:rPr>
          <w:rFonts w:cstheme="minorHAnsi"/>
          <w:color w:val="202124"/>
          <w:shd w:val="clear" w:color="auto" w:fill="FFFFFF"/>
        </w:rPr>
      </w:pPr>
      <w:r w:rsidRPr="00CE0086">
        <w:rPr>
          <w:rFonts w:cstheme="minorHAnsi"/>
          <w:color w:val="202124"/>
          <w:shd w:val="clear" w:color="auto" w:fill="FFFFFF"/>
        </w:rPr>
        <w:t xml:space="preserve">Refer </w:t>
      </w:r>
      <w:r w:rsidRPr="00C75C5B">
        <w:rPr>
          <w:rFonts w:cstheme="minorHAnsi"/>
          <w:color w:val="202124"/>
          <w:shd w:val="clear" w:color="auto" w:fill="FFFFFF"/>
        </w:rPr>
        <w:t xml:space="preserve">to </w:t>
      </w:r>
      <w:hyperlink r:id="rId13" w:history="1">
        <w:r w:rsidR="00C75C5B" w:rsidRPr="00C75C5B">
          <w:rPr>
            <w:rStyle w:val="Hyperlink"/>
            <w:rFonts w:cstheme="minorHAnsi"/>
          </w:rPr>
          <w:t>Reference Materials | FinCEN.gov</w:t>
        </w:r>
      </w:hyperlink>
      <w:r w:rsidR="00C75C5B">
        <w:rPr>
          <w:rStyle w:val="Hyperlink"/>
          <w:rFonts w:cstheme="minorHAnsi"/>
        </w:rPr>
        <w:t xml:space="preserve"> </w:t>
      </w:r>
      <w:r w:rsidRPr="00C75C5B">
        <w:rPr>
          <w:rFonts w:cstheme="minorHAnsi"/>
        </w:rPr>
        <w:t>for</w:t>
      </w:r>
      <w:r w:rsidRPr="00CE0086">
        <w:rPr>
          <w:rFonts w:cstheme="minorHAnsi"/>
        </w:rPr>
        <w:t xml:space="preserve"> detailed information</w:t>
      </w:r>
      <w:r>
        <w:rPr>
          <w:rFonts w:cstheme="minorHAnsi"/>
        </w:rPr>
        <w:t xml:space="preserve"> and updated guidance </w:t>
      </w:r>
      <w:r w:rsidR="00F26172">
        <w:rPr>
          <w:rFonts w:cstheme="minorHAnsi"/>
        </w:rPr>
        <w:t>regarding</w:t>
      </w:r>
      <w:r>
        <w:rPr>
          <w:rFonts w:cstheme="minorHAnsi"/>
        </w:rPr>
        <w:t xml:space="preserve"> deadline changes that may be promulgated.</w:t>
      </w:r>
    </w:p>
    <w:p w14:paraId="5F09E57F" w14:textId="77777777" w:rsidR="0004681B" w:rsidRPr="0004681B" w:rsidRDefault="0004681B" w:rsidP="00786F95">
      <w:pPr>
        <w:shd w:val="clear" w:color="auto" w:fill="FFFFFF"/>
        <w:autoSpaceDE w:val="0"/>
        <w:autoSpaceDN w:val="0"/>
        <w:adjustRightInd w:val="0"/>
        <w:spacing w:after="0" w:line="240" w:lineRule="auto"/>
      </w:pPr>
    </w:p>
    <w:p w14:paraId="3258C453" w14:textId="6AD183D4" w:rsidR="00E35229" w:rsidRPr="00F80C33" w:rsidRDefault="00F80C33" w:rsidP="00AF1D43">
      <w:pPr>
        <w:pStyle w:val="Heading2"/>
        <w:shd w:val="clear" w:color="auto" w:fill="FFFFFF"/>
        <w:spacing w:before="0"/>
        <w:rPr>
          <w:rFonts w:cstheme="minorHAnsi"/>
          <w:b/>
          <w:bCs/>
          <w:i/>
          <w:iCs/>
          <w:u w:val="single"/>
        </w:rPr>
      </w:pPr>
      <w:r w:rsidRPr="006F671C">
        <w:rPr>
          <w:rFonts w:asciiTheme="minorHAnsi" w:hAnsiTheme="minorHAnsi" w:cstheme="minorHAnsi"/>
          <w:b/>
          <w:bCs/>
          <w:color w:val="auto"/>
          <w:sz w:val="22"/>
          <w:szCs w:val="22"/>
        </w:rPr>
        <w:t xml:space="preserve">Q. </w:t>
      </w:r>
      <w:r>
        <w:rPr>
          <w:rFonts w:asciiTheme="minorHAnsi" w:hAnsiTheme="minorHAnsi" w:cstheme="minorHAnsi"/>
          <w:b/>
          <w:bCs/>
          <w:color w:val="auto"/>
          <w:sz w:val="22"/>
          <w:szCs w:val="22"/>
        </w:rPr>
        <w:t>Are the penalties for noncompliance significant</w:t>
      </w:r>
      <w:r w:rsidRPr="006F671C">
        <w:rPr>
          <w:rFonts w:asciiTheme="minorHAnsi" w:hAnsiTheme="minorHAnsi" w:cstheme="minorHAnsi"/>
          <w:b/>
          <w:bCs/>
          <w:color w:val="auto"/>
          <w:sz w:val="22"/>
          <w:szCs w:val="22"/>
        </w:rPr>
        <w:t>?</w:t>
      </w:r>
    </w:p>
    <w:p w14:paraId="33246F14" w14:textId="5C9D3460" w:rsidR="00F80C33" w:rsidRDefault="00F80C33" w:rsidP="00CE7AA9">
      <w:pPr>
        <w:pStyle w:val="NormalWeb"/>
        <w:shd w:val="clear" w:color="auto" w:fill="FFFFFF"/>
        <w:spacing w:before="240" w:beforeAutospacing="0" w:after="240" w:afterAutospacing="0"/>
        <w:ind w:left="720"/>
        <w:rPr>
          <w:rFonts w:asciiTheme="minorHAnsi" w:hAnsiTheme="minorHAnsi" w:cstheme="minorHAnsi"/>
          <w:sz w:val="22"/>
          <w:szCs w:val="22"/>
        </w:rPr>
      </w:pPr>
      <w:r w:rsidRPr="002D4143">
        <w:rPr>
          <w:rFonts w:asciiTheme="minorHAnsi" w:hAnsiTheme="minorHAnsi" w:cstheme="minorHAnsi"/>
          <w:b/>
          <w:bCs/>
          <w:sz w:val="22"/>
          <w:szCs w:val="22"/>
        </w:rPr>
        <w:t>A.</w:t>
      </w:r>
      <w:r w:rsidRPr="002D4143">
        <w:rPr>
          <w:rFonts w:asciiTheme="minorHAnsi" w:hAnsiTheme="minorHAnsi" w:cstheme="minorHAnsi"/>
          <w:sz w:val="22"/>
          <w:szCs w:val="22"/>
        </w:rPr>
        <w:t xml:space="preserve"> Yes. </w:t>
      </w:r>
      <w:r w:rsidRPr="002D4143">
        <w:rPr>
          <w:rFonts w:asciiTheme="minorHAnsi" w:hAnsiTheme="minorHAnsi" w:cstheme="minorHAnsi"/>
          <w:color w:val="212529"/>
          <w:sz w:val="22"/>
          <w:szCs w:val="22"/>
        </w:rPr>
        <w:t xml:space="preserve">Penalties </w:t>
      </w:r>
      <w:r w:rsidRPr="00FE730B">
        <w:rPr>
          <w:rFonts w:asciiTheme="minorHAnsi" w:hAnsiTheme="minorHAnsi" w:cstheme="minorHAnsi"/>
          <w:color w:val="212529"/>
          <w:sz w:val="22"/>
          <w:szCs w:val="22"/>
        </w:rPr>
        <w:t>for willfully violating</w:t>
      </w:r>
      <w:r w:rsidRPr="002D4143">
        <w:rPr>
          <w:rFonts w:asciiTheme="minorHAnsi" w:hAnsiTheme="minorHAnsi" w:cstheme="minorHAnsi"/>
          <w:color w:val="212529"/>
          <w:sz w:val="22"/>
          <w:szCs w:val="22"/>
        </w:rPr>
        <w:t xml:space="preserve"> CTA reporting requirements include (1) civil penalties of up to $</w:t>
      </w:r>
      <w:r w:rsidR="003E1D8B" w:rsidRPr="00E217EC">
        <w:rPr>
          <w:rFonts w:asciiTheme="minorHAnsi" w:hAnsiTheme="minorHAnsi" w:cstheme="minorHAnsi"/>
          <w:color w:val="212529"/>
          <w:sz w:val="22"/>
          <w:szCs w:val="22"/>
        </w:rPr>
        <w:t>591</w:t>
      </w:r>
      <w:r w:rsidR="003E1D8B" w:rsidRPr="00E217EC">
        <w:rPr>
          <w:rStyle w:val="FootnoteReference"/>
          <w:rFonts w:asciiTheme="minorHAnsi" w:hAnsiTheme="minorHAnsi"/>
          <w:color w:val="212529"/>
          <w:sz w:val="22"/>
          <w:szCs w:val="22"/>
        </w:rPr>
        <w:footnoteReference w:id="8"/>
      </w:r>
      <w:r w:rsidR="003E1D8B" w:rsidRPr="002D4143">
        <w:rPr>
          <w:rFonts w:asciiTheme="minorHAnsi" w:hAnsiTheme="minorHAnsi" w:cstheme="minorHAnsi"/>
          <w:color w:val="212529"/>
          <w:sz w:val="22"/>
          <w:szCs w:val="22"/>
        </w:rPr>
        <w:t xml:space="preserve"> </w:t>
      </w:r>
      <w:r w:rsidRPr="002D4143">
        <w:rPr>
          <w:rFonts w:asciiTheme="minorHAnsi" w:hAnsiTheme="minorHAnsi" w:cstheme="minorHAnsi"/>
          <w:color w:val="212529"/>
          <w:sz w:val="22"/>
          <w:szCs w:val="22"/>
        </w:rPr>
        <w:t>per day that a violation is not remedied, (2) a criminal fine of up to $10,000, and/or (3) imprisonment of up to two years.</w:t>
      </w:r>
      <w:r w:rsidRPr="002D4143">
        <w:rPr>
          <w:rFonts w:asciiTheme="minorHAnsi" w:hAnsiTheme="minorHAnsi" w:cstheme="minorHAnsi"/>
          <w:color w:val="000000"/>
          <w:sz w:val="22"/>
          <w:szCs w:val="22"/>
          <w:shd w:val="clear" w:color="auto" w:fill="FFFFFF"/>
        </w:rPr>
        <w:t xml:space="preserve"> A safe harbor from the penalty is available to Reporting Companies that file corrected reports with FinCEN no later than 90 days after submission of an inaccurate report</w:t>
      </w:r>
      <w:r w:rsidR="006651F8" w:rsidRPr="002D4143">
        <w:rPr>
          <w:rFonts w:asciiTheme="minorHAnsi" w:hAnsiTheme="minorHAnsi" w:cstheme="minorHAnsi"/>
          <w:color w:val="000000"/>
          <w:sz w:val="22"/>
          <w:szCs w:val="22"/>
          <w:shd w:val="clear" w:color="auto" w:fill="FFFFFF"/>
        </w:rPr>
        <w:t xml:space="preserve"> </w:t>
      </w:r>
      <w:r w:rsidRPr="002D4143">
        <w:rPr>
          <w:rFonts w:asciiTheme="minorHAnsi" w:hAnsiTheme="minorHAnsi" w:cstheme="minorHAnsi"/>
          <w:color w:val="000000"/>
          <w:sz w:val="22"/>
          <w:szCs w:val="22"/>
          <w:shd w:val="clear" w:color="auto" w:fill="FFFFFF"/>
        </w:rPr>
        <w:t>(</w:t>
      </w:r>
      <w:r w:rsidRPr="002D4143">
        <w:rPr>
          <w:rFonts w:asciiTheme="minorHAnsi" w:hAnsiTheme="minorHAnsi" w:cstheme="minorHAnsi"/>
          <w:sz w:val="22"/>
          <w:szCs w:val="22"/>
        </w:rPr>
        <w:t>31 U.S.C. 5336(h)(3)(C)).</w:t>
      </w:r>
      <w:r w:rsidRPr="002D4143">
        <w:rPr>
          <w:rStyle w:val="FootnoteReference"/>
          <w:rFonts w:asciiTheme="minorHAnsi" w:hAnsiTheme="minorHAnsi" w:cstheme="minorHAnsi"/>
          <w:sz w:val="22"/>
          <w:szCs w:val="22"/>
        </w:rPr>
        <w:footnoteReference w:id="9"/>
      </w:r>
    </w:p>
    <w:p w14:paraId="7650BBB4" w14:textId="1005B8B8" w:rsidR="00CE0086" w:rsidRPr="006F671C" w:rsidRDefault="00CE0086" w:rsidP="00CE7AA9">
      <w:pPr>
        <w:shd w:val="clear" w:color="auto" w:fill="FFFFFF"/>
        <w:autoSpaceDE w:val="0"/>
        <w:autoSpaceDN w:val="0"/>
        <w:adjustRightInd w:val="0"/>
        <w:spacing w:after="0" w:line="240" w:lineRule="auto"/>
        <w:ind w:left="720"/>
        <w:rPr>
          <w:rFonts w:cstheme="minorHAnsi"/>
          <w:color w:val="202124"/>
          <w:shd w:val="clear" w:color="auto" w:fill="FFFFFF"/>
        </w:rPr>
      </w:pPr>
      <w:r w:rsidRPr="006F671C">
        <w:rPr>
          <w:rFonts w:cstheme="minorHAnsi"/>
          <w:color w:val="202124"/>
          <w:shd w:val="clear" w:color="auto" w:fill="FFFFFF"/>
        </w:rPr>
        <w:t xml:space="preserve">Refer </w:t>
      </w:r>
      <w:r w:rsidRPr="00C75C5B">
        <w:rPr>
          <w:rFonts w:cstheme="minorHAnsi"/>
          <w:color w:val="202124"/>
          <w:shd w:val="clear" w:color="auto" w:fill="FFFFFF"/>
        </w:rPr>
        <w:t xml:space="preserve">to </w:t>
      </w:r>
      <w:hyperlink r:id="rId14" w:history="1">
        <w:r w:rsidRPr="00C75C5B">
          <w:rPr>
            <w:rStyle w:val="Hyperlink"/>
            <w:rFonts w:cstheme="minorHAnsi"/>
          </w:rPr>
          <w:t>Reference Materials | FinCEN.gov</w:t>
        </w:r>
      </w:hyperlink>
      <w:r w:rsidRPr="00C75C5B">
        <w:rPr>
          <w:rFonts w:cstheme="minorHAnsi"/>
        </w:rPr>
        <w:t xml:space="preserve"> for</w:t>
      </w:r>
      <w:r w:rsidRPr="006F671C">
        <w:rPr>
          <w:rFonts w:cstheme="minorHAnsi"/>
        </w:rPr>
        <w:t xml:space="preserve"> </w:t>
      </w:r>
      <w:r w:rsidR="00AD587A">
        <w:rPr>
          <w:rFonts w:cstheme="minorHAnsi"/>
        </w:rPr>
        <w:t xml:space="preserve">more information </w:t>
      </w:r>
      <w:r w:rsidR="001B63E7">
        <w:rPr>
          <w:rFonts w:cstheme="minorHAnsi"/>
        </w:rPr>
        <w:t>regarding</w:t>
      </w:r>
      <w:r>
        <w:rPr>
          <w:rFonts w:cstheme="minorHAnsi"/>
        </w:rPr>
        <w:t xml:space="preserve"> penalties for noncompliance</w:t>
      </w:r>
      <w:r w:rsidRPr="006F671C">
        <w:rPr>
          <w:rFonts w:cstheme="minorHAnsi"/>
        </w:rPr>
        <w:t xml:space="preserve">. </w:t>
      </w:r>
    </w:p>
    <w:p w14:paraId="21E814DD" w14:textId="123DEC6B" w:rsidR="0036474F" w:rsidRDefault="0036474F" w:rsidP="0036474F">
      <w:pPr>
        <w:pStyle w:val="NormalWeb"/>
        <w:shd w:val="clear" w:color="auto" w:fill="FFFFFF"/>
        <w:spacing w:before="0" w:beforeAutospacing="0" w:after="0" w:afterAutospacing="0"/>
        <w:rPr>
          <w:rFonts w:asciiTheme="minorHAnsi" w:hAnsiTheme="minorHAnsi" w:cstheme="minorHAnsi"/>
          <w:color w:val="212529"/>
          <w:sz w:val="22"/>
          <w:szCs w:val="22"/>
        </w:rPr>
      </w:pPr>
    </w:p>
    <w:p w14:paraId="2ECF7CBB" w14:textId="77777777" w:rsidR="0057572B" w:rsidRPr="00F80C33" w:rsidRDefault="0057572B" w:rsidP="0057572B">
      <w:pPr>
        <w:pStyle w:val="NormalWeb"/>
        <w:shd w:val="clear" w:color="auto" w:fill="FFFFFF"/>
        <w:spacing w:before="0" w:beforeAutospacing="0" w:after="0" w:afterAutospacing="0"/>
        <w:ind w:left="720"/>
        <w:rPr>
          <w:rFonts w:cstheme="minorHAnsi"/>
        </w:rPr>
      </w:pPr>
    </w:p>
    <w:p w14:paraId="4145E138" w14:textId="4255EAAF" w:rsidR="00E35229" w:rsidRPr="00C063E7" w:rsidRDefault="000E589F" w:rsidP="006F671C">
      <w:pPr>
        <w:rPr>
          <w:rFonts w:cstheme="minorHAnsi"/>
          <w:b/>
          <w:bCs/>
          <w:i/>
          <w:iCs/>
          <w:sz w:val="28"/>
          <w:szCs w:val="28"/>
          <w:u w:val="single"/>
        </w:rPr>
      </w:pPr>
      <w:r w:rsidRPr="00C063E7">
        <w:rPr>
          <w:rFonts w:cstheme="minorHAnsi"/>
          <w:b/>
          <w:bCs/>
          <w:i/>
          <w:iCs/>
          <w:sz w:val="28"/>
          <w:szCs w:val="28"/>
          <w:u w:val="single"/>
        </w:rPr>
        <w:t xml:space="preserve">Section 2: </w:t>
      </w:r>
      <w:r w:rsidR="00E35229" w:rsidRPr="00C063E7">
        <w:rPr>
          <w:rFonts w:cstheme="minorHAnsi"/>
          <w:b/>
          <w:bCs/>
          <w:i/>
          <w:iCs/>
          <w:sz w:val="28"/>
          <w:szCs w:val="28"/>
          <w:u w:val="single"/>
        </w:rPr>
        <w:t>Risk Management Considerations</w:t>
      </w:r>
    </w:p>
    <w:p w14:paraId="011FAA31" w14:textId="77777777" w:rsidR="004F5058" w:rsidRPr="006F671C" w:rsidRDefault="004F5058" w:rsidP="004F5058">
      <w:pPr>
        <w:shd w:val="clear" w:color="auto" w:fill="FFFFFF"/>
        <w:autoSpaceDE w:val="0"/>
        <w:autoSpaceDN w:val="0"/>
        <w:adjustRightInd w:val="0"/>
        <w:spacing w:after="0" w:line="240" w:lineRule="auto"/>
        <w:rPr>
          <w:rFonts w:cstheme="minorHAnsi"/>
          <w:b/>
          <w:bCs/>
          <w:color w:val="202124"/>
          <w:shd w:val="clear" w:color="auto" w:fill="FFFFFF"/>
        </w:rPr>
      </w:pPr>
      <w:r w:rsidRPr="006F671C">
        <w:rPr>
          <w:rFonts w:cstheme="minorHAnsi"/>
          <w:b/>
          <w:bCs/>
          <w:color w:val="202124"/>
          <w:shd w:val="clear" w:color="auto" w:fill="FFFFFF"/>
        </w:rPr>
        <w:t xml:space="preserve">Q. Is </w:t>
      </w:r>
      <w:r>
        <w:rPr>
          <w:rFonts w:cstheme="minorHAnsi"/>
          <w:b/>
          <w:bCs/>
          <w:color w:val="202124"/>
          <w:shd w:val="clear" w:color="auto" w:fill="FFFFFF"/>
        </w:rPr>
        <w:t>my</w:t>
      </w:r>
      <w:r w:rsidRPr="006F671C">
        <w:rPr>
          <w:rFonts w:cstheme="minorHAnsi"/>
          <w:b/>
          <w:bCs/>
          <w:color w:val="202124"/>
          <w:shd w:val="clear" w:color="auto" w:fill="FFFFFF"/>
        </w:rPr>
        <w:t xml:space="preserve"> CPA firm a potential Reporting Company?</w:t>
      </w:r>
    </w:p>
    <w:p w14:paraId="36D0BBBF" w14:textId="77777777" w:rsidR="004F5058" w:rsidRPr="006F671C" w:rsidRDefault="004F5058" w:rsidP="004F5058">
      <w:pPr>
        <w:shd w:val="clear" w:color="auto" w:fill="FFFFFF"/>
        <w:autoSpaceDE w:val="0"/>
        <w:autoSpaceDN w:val="0"/>
        <w:adjustRightInd w:val="0"/>
        <w:spacing w:after="0" w:line="240" w:lineRule="auto"/>
        <w:rPr>
          <w:rFonts w:cstheme="minorHAnsi"/>
          <w:b/>
          <w:bCs/>
          <w:color w:val="202124"/>
          <w:shd w:val="clear" w:color="auto" w:fill="FFFFFF"/>
        </w:rPr>
      </w:pPr>
    </w:p>
    <w:p w14:paraId="0C1C32C2" w14:textId="220F211F" w:rsidR="004F5058" w:rsidRDefault="004F5058" w:rsidP="00B014CC">
      <w:pPr>
        <w:shd w:val="clear" w:color="auto" w:fill="FFFFFF"/>
        <w:autoSpaceDE w:val="0"/>
        <w:autoSpaceDN w:val="0"/>
        <w:adjustRightInd w:val="0"/>
        <w:spacing w:after="0" w:line="240" w:lineRule="auto"/>
        <w:ind w:left="720"/>
        <w:rPr>
          <w:rFonts w:eastAsia="Times New Roman" w:cstheme="minorHAnsi"/>
        </w:rPr>
      </w:pPr>
      <w:r w:rsidRPr="006F671C">
        <w:rPr>
          <w:rFonts w:cstheme="minorHAnsi"/>
          <w:b/>
          <w:bCs/>
        </w:rPr>
        <w:t xml:space="preserve">A. </w:t>
      </w:r>
      <w:r>
        <w:rPr>
          <w:rFonts w:cstheme="minorHAnsi"/>
        </w:rPr>
        <w:t>Maybe</w:t>
      </w:r>
      <w:r w:rsidRPr="006F671C">
        <w:rPr>
          <w:rFonts w:cstheme="minorHAnsi"/>
        </w:rPr>
        <w:t xml:space="preserve">. </w:t>
      </w:r>
      <w:r w:rsidRPr="006F671C">
        <w:rPr>
          <w:rFonts w:cstheme="minorHAnsi"/>
          <w:color w:val="202124"/>
          <w:shd w:val="clear" w:color="auto" w:fill="FFFFFF"/>
        </w:rPr>
        <w:t xml:space="preserve">As currently promulgated, the CTA has an exemption for “any public accounting firm” registered in accordance with Section 102 of the Sarbanes-Oxley Act of 2002 (firms registered with the Public Company Accounting Oversight Board). However, other public accounting firms could be deemed Reporting Companies subject to compliance with the CTA, unless the firm falls under the </w:t>
      </w:r>
      <w:r w:rsidRPr="006F671C">
        <w:rPr>
          <w:rFonts w:cstheme="minorHAnsi"/>
          <w:color w:val="212529"/>
        </w:rPr>
        <w:t>exception</w:t>
      </w:r>
      <w:r w:rsidRPr="006F671C">
        <w:rPr>
          <w:rFonts w:cstheme="minorHAnsi"/>
          <w:color w:val="202124"/>
          <w:shd w:val="clear" w:color="auto" w:fill="FFFFFF"/>
        </w:rPr>
        <w:t xml:space="preserve"> for </w:t>
      </w:r>
      <w:r w:rsidRPr="006F671C">
        <w:rPr>
          <w:rFonts w:cstheme="minorHAnsi"/>
          <w:i/>
          <w:iCs/>
          <w:color w:val="212529"/>
        </w:rPr>
        <w:t xml:space="preserve">“large operating companies” </w:t>
      </w:r>
      <w:r w:rsidRPr="006F671C">
        <w:rPr>
          <w:rFonts w:cstheme="minorHAnsi"/>
          <w:color w:val="212529"/>
        </w:rPr>
        <w:t xml:space="preserve">as defined in </w:t>
      </w:r>
      <w:r w:rsidR="001B63E7" w:rsidRPr="006D3502">
        <w:rPr>
          <w:rFonts w:cstheme="minorHAnsi"/>
          <w:i/>
          <w:iCs/>
          <w:color w:val="212529"/>
        </w:rPr>
        <w:t>Section</w:t>
      </w:r>
      <w:r w:rsidR="006D3502" w:rsidRPr="006D3502">
        <w:rPr>
          <w:rFonts w:cstheme="minorHAnsi"/>
          <w:i/>
          <w:iCs/>
          <w:color w:val="212529"/>
        </w:rPr>
        <w:t xml:space="preserve"> 1: Background Information</w:t>
      </w:r>
      <w:r w:rsidRPr="006F671C">
        <w:rPr>
          <w:rFonts w:cstheme="minorHAnsi"/>
          <w:color w:val="212529"/>
        </w:rPr>
        <w:t xml:space="preserve">. </w:t>
      </w:r>
      <w:r>
        <w:rPr>
          <w:rFonts w:eastAsia="Times New Roman" w:cstheme="minorHAnsi"/>
        </w:rPr>
        <w:t>Begin to p</w:t>
      </w:r>
      <w:r w:rsidRPr="005A7BAC">
        <w:rPr>
          <w:rFonts w:eastAsia="Times New Roman" w:cstheme="minorHAnsi"/>
        </w:rPr>
        <w:t xml:space="preserve">repare your </w:t>
      </w:r>
      <w:r w:rsidRPr="005A7BAC">
        <w:rPr>
          <w:rFonts w:eastAsia="Times New Roman" w:cstheme="minorHAnsi"/>
        </w:rPr>
        <w:lastRenderedPageBreak/>
        <w:t>own firm</w:t>
      </w:r>
      <w:r>
        <w:rPr>
          <w:rFonts w:eastAsia="Times New Roman" w:cstheme="minorHAnsi"/>
        </w:rPr>
        <w:t xml:space="preserve"> now</w:t>
      </w:r>
      <w:r w:rsidRPr="000A32FA">
        <w:rPr>
          <w:rFonts w:eastAsia="Times New Roman" w:cstheme="minorHAnsi"/>
        </w:rPr>
        <w:t xml:space="preserve"> for compliance if you are deemed to be a Reporting Company under currently promulgated CTA guidance.</w:t>
      </w:r>
    </w:p>
    <w:p w14:paraId="16BA2F5D" w14:textId="77777777" w:rsidR="006B0C3B" w:rsidRDefault="006B0C3B" w:rsidP="00B014CC">
      <w:pPr>
        <w:shd w:val="clear" w:color="auto" w:fill="FFFFFF"/>
        <w:autoSpaceDE w:val="0"/>
        <w:autoSpaceDN w:val="0"/>
        <w:adjustRightInd w:val="0"/>
        <w:spacing w:after="0" w:line="240" w:lineRule="auto"/>
        <w:ind w:left="720"/>
        <w:rPr>
          <w:rFonts w:eastAsia="Times New Roman" w:cstheme="minorHAnsi"/>
        </w:rPr>
      </w:pPr>
    </w:p>
    <w:p w14:paraId="1B822407" w14:textId="77777777" w:rsidR="00CE0086" w:rsidRDefault="00CE0086" w:rsidP="00E806A2">
      <w:pPr>
        <w:pStyle w:val="NormalWeb"/>
        <w:shd w:val="clear" w:color="auto" w:fill="FFFFFF"/>
        <w:spacing w:before="0" w:beforeAutospacing="0" w:after="240" w:afterAutospacing="0"/>
        <w:rPr>
          <w:rFonts w:asciiTheme="minorHAnsi" w:hAnsiTheme="minorHAnsi" w:cstheme="minorHAnsi"/>
          <w:b/>
          <w:bCs/>
          <w:sz w:val="22"/>
          <w:szCs w:val="22"/>
        </w:rPr>
      </w:pPr>
      <w:r w:rsidRPr="00B40DE7">
        <w:rPr>
          <w:rFonts w:asciiTheme="minorHAnsi" w:hAnsiTheme="minorHAnsi" w:cstheme="minorHAnsi"/>
          <w:b/>
          <w:bCs/>
          <w:sz w:val="22"/>
          <w:szCs w:val="22"/>
        </w:rPr>
        <w:t xml:space="preserve">Q. </w:t>
      </w:r>
      <w:r>
        <w:rPr>
          <w:rFonts w:asciiTheme="minorHAnsi" w:hAnsiTheme="minorHAnsi" w:cstheme="minorHAnsi"/>
          <w:b/>
          <w:bCs/>
          <w:sz w:val="22"/>
          <w:szCs w:val="22"/>
        </w:rPr>
        <w:t>Would CPAs be considered beneficial owners of their clients?</w:t>
      </w:r>
    </w:p>
    <w:p w14:paraId="54DA1527" w14:textId="04F13DFC" w:rsidR="00CE0086" w:rsidRDefault="00CE0086" w:rsidP="00CD2E0D">
      <w:pPr>
        <w:pStyle w:val="NormalWeb"/>
        <w:spacing w:before="0" w:beforeAutospacing="0" w:after="150" w:afterAutospacing="0"/>
        <w:ind w:left="720"/>
        <w:rPr>
          <w:rFonts w:asciiTheme="minorHAnsi" w:hAnsiTheme="minorHAnsi" w:cstheme="minorHAnsi"/>
          <w:color w:val="333333"/>
          <w:sz w:val="22"/>
          <w:szCs w:val="22"/>
        </w:rPr>
      </w:pPr>
      <w:r w:rsidRPr="00DE10C2">
        <w:rPr>
          <w:rFonts w:asciiTheme="minorHAnsi" w:hAnsiTheme="minorHAnsi" w:cstheme="minorHAnsi"/>
          <w:b/>
          <w:bCs/>
          <w:sz w:val="22"/>
          <w:szCs w:val="22"/>
        </w:rPr>
        <w:t>A.</w:t>
      </w:r>
      <w:r>
        <w:rPr>
          <w:rFonts w:cstheme="minorHAnsi"/>
          <w:b/>
          <w:bCs/>
        </w:rPr>
        <w:t xml:space="preserve"> </w:t>
      </w:r>
      <w:r>
        <w:rPr>
          <w:rFonts w:asciiTheme="minorHAnsi" w:hAnsiTheme="minorHAnsi" w:cstheme="minorHAnsi"/>
          <w:color w:val="333333"/>
          <w:sz w:val="22"/>
          <w:szCs w:val="22"/>
        </w:rPr>
        <w:t>CPA</w:t>
      </w:r>
      <w:r w:rsidRPr="00A64308">
        <w:rPr>
          <w:rFonts w:asciiTheme="minorHAnsi" w:hAnsiTheme="minorHAnsi" w:cstheme="minorHAnsi"/>
          <w:color w:val="333333"/>
          <w:sz w:val="22"/>
          <w:szCs w:val="22"/>
        </w:rPr>
        <w:t xml:space="preserve">s generally </w:t>
      </w:r>
      <w:r>
        <w:rPr>
          <w:rFonts w:asciiTheme="minorHAnsi" w:hAnsiTheme="minorHAnsi" w:cstheme="minorHAnsi"/>
          <w:color w:val="333333"/>
          <w:sz w:val="22"/>
          <w:szCs w:val="22"/>
        </w:rPr>
        <w:t>will</w:t>
      </w:r>
      <w:r w:rsidRPr="00A64308">
        <w:rPr>
          <w:rFonts w:asciiTheme="minorHAnsi" w:hAnsiTheme="minorHAnsi" w:cstheme="minorHAnsi"/>
          <w:color w:val="333333"/>
          <w:sz w:val="22"/>
          <w:szCs w:val="22"/>
        </w:rPr>
        <w:t xml:space="preserve"> not qualify as beneficial owners</w:t>
      </w:r>
      <w:r>
        <w:rPr>
          <w:rFonts w:asciiTheme="minorHAnsi" w:hAnsiTheme="minorHAnsi" w:cstheme="minorHAnsi"/>
          <w:color w:val="333333"/>
          <w:sz w:val="22"/>
          <w:szCs w:val="22"/>
        </w:rPr>
        <w:t xml:space="preserve"> if they merely provide clients with</w:t>
      </w:r>
      <w:r w:rsidRPr="00A64308">
        <w:rPr>
          <w:rFonts w:asciiTheme="minorHAnsi" w:hAnsiTheme="minorHAnsi" w:cstheme="minorHAnsi"/>
          <w:color w:val="333333"/>
          <w:sz w:val="22"/>
          <w:szCs w:val="22"/>
        </w:rPr>
        <w:t xml:space="preserve"> </w:t>
      </w:r>
      <w:r>
        <w:rPr>
          <w:rFonts w:asciiTheme="minorHAnsi" w:hAnsiTheme="minorHAnsi" w:cstheme="minorHAnsi"/>
          <w:color w:val="333333"/>
          <w:sz w:val="22"/>
          <w:szCs w:val="22"/>
        </w:rPr>
        <w:t>traditional</w:t>
      </w:r>
      <w:r w:rsidRPr="00A64308">
        <w:rPr>
          <w:rFonts w:asciiTheme="minorHAnsi" w:hAnsiTheme="minorHAnsi" w:cstheme="minorHAnsi"/>
          <w:color w:val="333333"/>
          <w:sz w:val="22"/>
          <w:szCs w:val="22"/>
        </w:rPr>
        <w:t xml:space="preserve"> accounting </w:t>
      </w:r>
      <w:r>
        <w:rPr>
          <w:rFonts w:asciiTheme="minorHAnsi" w:hAnsiTheme="minorHAnsi" w:cstheme="minorHAnsi"/>
          <w:color w:val="333333"/>
          <w:sz w:val="22"/>
          <w:szCs w:val="22"/>
        </w:rPr>
        <w:t xml:space="preserve">and tax-related services. Providing </w:t>
      </w:r>
      <w:r w:rsidRPr="00A64308">
        <w:rPr>
          <w:rFonts w:asciiTheme="minorHAnsi" w:hAnsiTheme="minorHAnsi" w:cstheme="minorHAnsi"/>
          <w:color w:val="333333"/>
          <w:sz w:val="22"/>
          <w:szCs w:val="22"/>
        </w:rPr>
        <w:t xml:space="preserve">ordinary, arms-length advisory or other third-party professional services to a </w:t>
      </w:r>
      <w:r w:rsidR="00BA7BC4">
        <w:rPr>
          <w:rFonts w:asciiTheme="minorHAnsi" w:hAnsiTheme="minorHAnsi" w:cstheme="minorHAnsi"/>
          <w:color w:val="333333"/>
          <w:sz w:val="22"/>
          <w:szCs w:val="22"/>
        </w:rPr>
        <w:t>R</w:t>
      </w:r>
      <w:r w:rsidR="00BA7BC4" w:rsidRPr="00A64308">
        <w:rPr>
          <w:rFonts w:asciiTheme="minorHAnsi" w:hAnsiTheme="minorHAnsi" w:cstheme="minorHAnsi"/>
          <w:color w:val="333333"/>
          <w:sz w:val="22"/>
          <w:szCs w:val="22"/>
        </w:rPr>
        <w:t xml:space="preserve">eporting </w:t>
      </w:r>
      <w:r w:rsidR="00BA7BC4">
        <w:rPr>
          <w:rFonts w:asciiTheme="minorHAnsi" w:hAnsiTheme="minorHAnsi" w:cstheme="minorHAnsi"/>
          <w:color w:val="333333"/>
          <w:sz w:val="22"/>
          <w:szCs w:val="22"/>
        </w:rPr>
        <w:t>C</w:t>
      </w:r>
      <w:r w:rsidR="00BA7BC4" w:rsidRPr="00A64308">
        <w:rPr>
          <w:rFonts w:asciiTheme="minorHAnsi" w:hAnsiTheme="minorHAnsi" w:cstheme="minorHAnsi"/>
          <w:color w:val="333333"/>
          <w:sz w:val="22"/>
          <w:szCs w:val="22"/>
        </w:rPr>
        <w:t xml:space="preserve">ompany </w:t>
      </w:r>
      <w:r>
        <w:rPr>
          <w:rFonts w:asciiTheme="minorHAnsi" w:hAnsiTheme="minorHAnsi" w:cstheme="minorHAnsi"/>
          <w:color w:val="333333"/>
          <w:sz w:val="22"/>
          <w:szCs w:val="22"/>
        </w:rPr>
        <w:t>is</w:t>
      </w:r>
      <w:r w:rsidRPr="00A64308">
        <w:rPr>
          <w:rFonts w:asciiTheme="minorHAnsi" w:hAnsiTheme="minorHAnsi" w:cstheme="minorHAnsi"/>
          <w:color w:val="333333"/>
          <w:sz w:val="22"/>
          <w:szCs w:val="22"/>
        </w:rPr>
        <w:t xml:space="preserve"> not considered “substantial control</w:t>
      </w:r>
      <w:r>
        <w:rPr>
          <w:rFonts w:asciiTheme="minorHAnsi" w:hAnsiTheme="minorHAnsi" w:cstheme="minorHAnsi"/>
          <w:color w:val="333333"/>
          <w:sz w:val="22"/>
          <w:szCs w:val="22"/>
        </w:rPr>
        <w:t>.”</w:t>
      </w:r>
      <w:r w:rsidRPr="00A64308">
        <w:rPr>
          <w:rFonts w:asciiTheme="minorHAnsi" w:hAnsiTheme="minorHAnsi" w:cstheme="minorHAnsi"/>
          <w:color w:val="333333"/>
          <w:sz w:val="22"/>
          <w:szCs w:val="22"/>
        </w:rPr>
        <w:t xml:space="preserve"> However</w:t>
      </w:r>
      <w:r>
        <w:rPr>
          <w:rFonts w:asciiTheme="minorHAnsi" w:hAnsiTheme="minorHAnsi" w:cstheme="minorHAnsi"/>
          <w:color w:val="333333"/>
          <w:sz w:val="22"/>
          <w:szCs w:val="22"/>
        </w:rPr>
        <w:t xml:space="preserve">, there may be non-traditional services performed by a CPA firm that could </w:t>
      </w:r>
      <w:r w:rsidR="00210C4C">
        <w:rPr>
          <w:rFonts w:asciiTheme="minorHAnsi" w:hAnsiTheme="minorHAnsi" w:cstheme="minorHAnsi"/>
          <w:color w:val="333333"/>
          <w:sz w:val="22"/>
          <w:szCs w:val="22"/>
        </w:rPr>
        <w:t xml:space="preserve">raise them </w:t>
      </w:r>
      <w:r>
        <w:rPr>
          <w:rFonts w:asciiTheme="minorHAnsi" w:hAnsiTheme="minorHAnsi" w:cstheme="minorHAnsi"/>
          <w:color w:val="333333"/>
          <w:sz w:val="22"/>
          <w:szCs w:val="22"/>
        </w:rPr>
        <w:t>to the level of a beneficial owner. For example, a CPA in a firm who performs “</w:t>
      </w:r>
      <w:r w:rsidRPr="00A64308">
        <w:rPr>
          <w:rFonts w:asciiTheme="minorHAnsi" w:hAnsiTheme="minorHAnsi" w:cstheme="minorHAnsi"/>
          <w:color w:val="333333"/>
          <w:sz w:val="22"/>
          <w:szCs w:val="22"/>
        </w:rPr>
        <w:t xml:space="preserve">senior officer” </w:t>
      </w:r>
      <w:r>
        <w:rPr>
          <w:rFonts w:asciiTheme="minorHAnsi" w:hAnsiTheme="minorHAnsi" w:cstheme="minorHAnsi"/>
          <w:color w:val="333333"/>
          <w:sz w:val="22"/>
          <w:szCs w:val="22"/>
        </w:rPr>
        <w:t>duties for a client deemed to be</w:t>
      </w:r>
      <w:r w:rsidRPr="00A64308">
        <w:rPr>
          <w:rFonts w:asciiTheme="minorHAnsi" w:hAnsiTheme="minorHAnsi" w:cstheme="minorHAnsi"/>
          <w:color w:val="333333"/>
          <w:sz w:val="22"/>
          <w:szCs w:val="22"/>
        </w:rPr>
        <w:t xml:space="preserve"> a </w:t>
      </w:r>
      <w:r w:rsidR="00BA7BC4">
        <w:rPr>
          <w:rFonts w:asciiTheme="minorHAnsi" w:hAnsiTheme="minorHAnsi" w:cstheme="minorHAnsi"/>
          <w:color w:val="333333"/>
          <w:sz w:val="22"/>
          <w:szCs w:val="22"/>
        </w:rPr>
        <w:t>R</w:t>
      </w:r>
      <w:r w:rsidR="00BA7BC4" w:rsidRPr="00A64308">
        <w:rPr>
          <w:rFonts w:asciiTheme="minorHAnsi" w:hAnsiTheme="minorHAnsi" w:cstheme="minorHAnsi"/>
          <w:color w:val="333333"/>
          <w:sz w:val="22"/>
          <w:szCs w:val="22"/>
        </w:rPr>
        <w:t xml:space="preserve">eporting </w:t>
      </w:r>
      <w:r w:rsidR="00BA7BC4">
        <w:rPr>
          <w:rFonts w:asciiTheme="minorHAnsi" w:hAnsiTheme="minorHAnsi" w:cstheme="minorHAnsi"/>
          <w:color w:val="333333"/>
          <w:sz w:val="22"/>
          <w:szCs w:val="22"/>
        </w:rPr>
        <w:t>C</w:t>
      </w:r>
      <w:r w:rsidR="00BA7BC4" w:rsidRPr="00A64308">
        <w:rPr>
          <w:rFonts w:asciiTheme="minorHAnsi" w:hAnsiTheme="minorHAnsi" w:cstheme="minorHAnsi"/>
          <w:color w:val="333333"/>
          <w:sz w:val="22"/>
          <w:szCs w:val="22"/>
        </w:rPr>
        <w:t>ompany</w:t>
      </w:r>
      <w:r w:rsidR="00BA7BC4">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may </w:t>
      </w:r>
      <w:r w:rsidR="00DB5587">
        <w:rPr>
          <w:rFonts w:asciiTheme="minorHAnsi" w:hAnsiTheme="minorHAnsi" w:cstheme="minorHAnsi"/>
          <w:color w:val="333333"/>
          <w:sz w:val="22"/>
          <w:szCs w:val="22"/>
        </w:rPr>
        <w:t>rise to the level of a beneficial owner of that entity</w:t>
      </w:r>
      <w:r>
        <w:rPr>
          <w:rFonts w:asciiTheme="minorHAnsi" w:hAnsiTheme="minorHAnsi" w:cstheme="minorHAnsi"/>
          <w:color w:val="333333"/>
          <w:sz w:val="22"/>
          <w:szCs w:val="22"/>
        </w:rPr>
        <w:t xml:space="preserve">. The facts and circumstances of the services performed </w:t>
      </w:r>
      <w:r w:rsidR="00B8343D">
        <w:rPr>
          <w:rFonts w:asciiTheme="minorHAnsi" w:hAnsiTheme="minorHAnsi" w:cstheme="minorHAnsi"/>
          <w:color w:val="333333"/>
          <w:sz w:val="22"/>
          <w:szCs w:val="22"/>
        </w:rPr>
        <w:t>(</w:t>
      </w:r>
      <w:r>
        <w:rPr>
          <w:rFonts w:asciiTheme="minorHAnsi" w:hAnsiTheme="minorHAnsi" w:cstheme="minorHAnsi"/>
          <w:color w:val="333333"/>
          <w:sz w:val="22"/>
          <w:szCs w:val="22"/>
        </w:rPr>
        <w:t>e.g., “CFO-to-Go” type services</w:t>
      </w:r>
      <w:r w:rsidR="00B8343D">
        <w:rPr>
          <w:rFonts w:asciiTheme="minorHAnsi" w:hAnsiTheme="minorHAnsi" w:cstheme="minorHAnsi"/>
          <w:color w:val="333333"/>
          <w:sz w:val="22"/>
          <w:szCs w:val="22"/>
        </w:rPr>
        <w:t>)</w:t>
      </w:r>
      <w:r>
        <w:rPr>
          <w:rFonts w:asciiTheme="minorHAnsi" w:hAnsiTheme="minorHAnsi" w:cstheme="minorHAnsi"/>
          <w:color w:val="333333"/>
          <w:sz w:val="22"/>
          <w:szCs w:val="22"/>
        </w:rPr>
        <w:t xml:space="preserve"> should be evaluated with the client and legal counsel as appropriate to determine whether the </w:t>
      </w:r>
      <w:r w:rsidR="001B63E7">
        <w:rPr>
          <w:rFonts w:asciiTheme="minorHAnsi" w:hAnsiTheme="minorHAnsi" w:cstheme="minorHAnsi"/>
          <w:color w:val="333333"/>
          <w:sz w:val="22"/>
          <w:szCs w:val="22"/>
        </w:rPr>
        <w:t xml:space="preserve">services performed by the </w:t>
      </w:r>
      <w:r>
        <w:rPr>
          <w:rFonts w:asciiTheme="minorHAnsi" w:hAnsiTheme="minorHAnsi" w:cstheme="minorHAnsi"/>
          <w:color w:val="333333"/>
          <w:sz w:val="22"/>
          <w:szCs w:val="22"/>
        </w:rPr>
        <w:t xml:space="preserve">individual rise to the level of exercising substantial control and </w:t>
      </w:r>
      <w:r w:rsidR="00210C4C">
        <w:rPr>
          <w:rFonts w:asciiTheme="minorHAnsi" w:hAnsiTheme="minorHAnsi" w:cstheme="minorHAnsi"/>
          <w:color w:val="333333"/>
          <w:sz w:val="22"/>
          <w:szCs w:val="22"/>
        </w:rPr>
        <w:t xml:space="preserve">if </w:t>
      </w:r>
      <w:r>
        <w:rPr>
          <w:rFonts w:asciiTheme="minorHAnsi" w:hAnsiTheme="minorHAnsi" w:cstheme="minorHAnsi"/>
          <w:color w:val="333333"/>
          <w:sz w:val="22"/>
          <w:szCs w:val="22"/>
        </w:rPr>
        <w:t xml:space="preserve">therefore </w:t>
      </w:r>
      <w:r w:rsidR="001B63E7">
        <w:rPr>
          <w:rFonts w:asciiTheme="minorHAnsi" w:hAnsiTheme="minorHAnsi" w:cstheme="minorHAnsi"/>
          <w:color w:val="333333"/>
          <w:sz w:val="22"/>
          <w:szCs w:val="22"/>
        </w:rPr>
        <w:t xml:space="preserve">the individual </w:t>
      </w:r>
      <w:r>
        <w:rPr>
          <w:rFonts w:asciiTheme="minorHAnsi" w:hAnsiTheme="minorHAnsi" w:cstheme="minorHAnsi"/>
          <w:color w:val="333333"/>
          <w:sz w:val="22"/>
          <w:szCs w:val="22"/>
        </w:rPr>
        <w:t>should be considered a beneficial owner.</w:t>
      </w:r>
    </w:p>
    <w:p w14:paraId="7ABBDB41" w14:textId="77777777" w:rsidR="00893D06" w:rsidRPr="00E806A2" w:rsidRDefault="00893D06" w:rsidP="00E806A2">
      <w:pPr>
        <w:pStyle w:val="NormalWeb"/>
        <w:spacing w:before="0" w:beforeAutospacing="0" w:after="0" w:afterAutospacing="0"/>
        <w:ind w:left="720"/>
        <w:rPr>
          <w:sz w:val="22"/>
          <w:szCs w:val="22"/>
        </w:rPr>
      </w:pPr>
    </w:p>
    <w:p w14:paraId="29FA34F9" w14:textId="2D78CADE" w:rsidR="00A862BE" w:rsidRPr="00E806A2" w:rsidRDefault="00312898" w:rsidP="00E806A2">
      <w:pPr>
        <w:spacing w:after="0"/>
        <w:rPr>
          <w:rFonts w:cstheme="minorHAnsi"/>
          <w:b/>
          <w:bCs/>
        </w:rPr>
      </w:pPr>
      <w:r w:rsidRPr="006F671C">
        <w:rPr>
          <w:rFonts w:cstheme="minorHAnsi"/>
          <w:b/>
          <w:bCs/>
        </w:rPr>
        <w:t>Q.</w:t>
      </w:r>
      <w:r w:rsidR="00B7141F" w:rsidRPr="006F671C">
        <w:rPr>
          <w:rFonts w:cstheme="minorHAnsi"/>
          <w:b/>
          <w:bCs/>
        </w:rPr>
        <w:t xml:space="preserve"> </w:t>
      </w:r>
      <w:r w:rsidR="003B482E" w:rsidRPr="006F671C">
        <w:rPr>
          <w:rFonts w:cstheme="minorHAnsi"/>
          <w:b/>
          <w:bCs/>
        </w:rPr>
        <w:t xml:space="preserve">What </w:t>
      </w:r>
      <w:r w:rsidR="00924280" w:rsidRPr="006F671C">
        <w:rPr>
          <w:rFonts w:cstheme="minorHAnsi"/>
          <w:b/>
          <w:bCs/>
        </w:rPr>
        <w:t>is</w:t>
      </w:r>
      <w:r w:rsidR="00D7488A" w:rsidRPr="006F671C">
        <w:rPr>
          <w:rFonts w:cstheme="minorHAnsi"/>
          <w:b/>
          <w:bCs/>
        </w:rPr>
        <w:t xml:space="preserve"> </w:t>
      </w:r>
      <w:r w:rsidR="005F08DE">
        <w:rPr>
          <w:rFonts w:cstheme="minorHAnsi"/>
          <w:b/>
          <w:bCs/>
        </w:rPr>
        <w:t xml:space="preserve">the concern regarding the unauthorized practice of law (“UPL”) if </w:t>
      </w:r>
      <w:r w:rsidR="00313D04" w:rsidRPr="006F671C">
        <w:rPr>
          <w:rFonts w:cstheme="minorHAnsi"/>
          <w:b/>
          <w:bCs/>
        </w:rPr>
        <w:t>CPA</w:t>
      </w:r>
      <w:r w:rsidR="005F08DE">
        <w:rPr>
          <w:rFonts w:cstheme="minorHAnsi"/>
          <w:b/>
          <w:bCs/>
        </w:rPr>
        <w:t xml:space="preserve">s </w:t>
      </w:r>
      <w:r w:rsidR="00313D04" w:rsidRPr="006F671C">
        <w:rPr>
          <w:rFonts w:cstheme="minorHAnsi"/>
          <w:b/>
          <w:bCs/>
        </w:rPr>
        <w:t>help clients prepare for the CTA?</w:t>
      </w:r>
    </w:p>
    <w:p w14:paraId="4E27120E" w14:textId="6AE71069" w:rsidR="00A108CE" w:rsidRDefault="00312898" w:rsidP="00E65744">
      <w:pPr>
        <w:ind w:left="720"/>
        <w:rPr>
          <w:rFonts w:cstheme="minorHAnsi"/>
        </w:rPr>
      </w:pPr>
      <w:r w:rsidRPr="006F671C">
        <w:rPr>
          <w:rFonts w:cstheme="minorHAnsi"/>
          <w:b/>
          <w:bCs/>
        </w:rPr>
        <w:t>A.</w:t>
      </w:r>
      <w:r w:rsidRPr="006F671C">
        <w:rPr>
          <w:rFonts w:cstheme="minorHAnsi"/>
        </w:rPr>
        <w:t xml:space="preserve"> </w:t>
      </w:r>
      <w:r w:rsidR="00FC1809" w:rsidRPr="006F671C">
        <w:rPr>
          <w:rFonts w:cstheme="minorHAnsi"/>
        </w:rPr>
        <w:t xml:space="preserve">CAMICO is concerned </w:t>
      </w:r>
      <w:r w:rsidR="00814F38">
        <w:rPr>
          <w:rFonts w:cstheme="minorHAnsi"/>
        </w:rPr>
        <w:t>UPL</w:t>
      </w:r>
      <w:r w:rsidR="00210C4C">
        <w:rPr>
          <w:rFonts w:cstheme="minorHAnsi"/>
        </w:rPr>
        <w:t xml:space="preserve"> </w:t>
      </w:r>
      <w:r w:rsidR="00814F38">
        <w:rPr>
          <w:rFonts w:cstheme="minorHAnsi"/>
        </w:rPr>
        <w:t xml:space="preserve">allegations might be made against </w:t>
      </w:r>
      <w:r w:rsidR="00FC1809" w:rsidRPr="006F671C">
        <w:rPr>
          <w:rFonts w:cstheme="minorHAnsi"/>
        </w:rPr>
        <w:t xml:space="preserve">CPAs providing CTA-related services that include determining if an exemption applies to the nature of the entity or whether certain legal relationships constitute </w:t>
      </w:r>
      <w:r w:rsidR="006651F8">
        <w:rPr>
          <w:rFonts w:cstheme="minorHAnsi"/>
        </w:rPr>
        <w:t>“</w:t>
      </w:r>
      <w:r w:rsidR="00FC1809" w:rsidRPr="006F671C">
        <w:rPr>
          <w:rFonts w:cstheme="minorHAnsi"/>
        </w:rPr>
        <w:t>beneficial ownership.</w:t>
      </w:r>
      <w:r w:rsidR="007673D3">
        <w:rPr>
          <w:rFonts w:cstheme="minorHAnsi"/>
        </w:rPr>
        <w:t>”</w:t>
      </w:r>
      <w:r w:rsidR="00D7488A" w:rsidRPr="006F671C">
        <w:rPr>
          <w:rFonts w:cstheme="minorHAnsi"/>
        </w:rPr>
        <w:t xml:space="preserve"> As each state has its own definitions of what services are considered UPL, </w:t>
      </w:r>
      <w:r w:rsidR="0080036D">
        <w:rPr>
          <w:rFonts w:cstheme="minorHAnsi"/>
        </w:rPr>
        <w:t xml:space="preserve">and </w:t>
      </w:r>
      <w:r w:rsidR="0080036D">
        <w:rPr>
          <w:rFonts w:ascii="Calibri" w:hAnsi="Calibri" w:cs="Calibri"/>
        </w:rPr>
        <w:t>the state</w:t>
      </w:r>
      <w:r w:rsidR="00814F38">
        <w:rPr>
          <w:rFonts w:ascii="Calibri" w:hAnsi="Calibri" w:cs="Calibri"/>
        </w:rPr>
        <w:t>(s)</w:t>
      </w:r>
      <w:r w:rsidR="0080036D">
        <w:rPr>
          <w:rFonts w:ascii="Calibri" w:hAnsi="Calibri" w:cs="Calibri"/>
        </w:rPr>
        <w:t xml:space="preserve"> in which your firm is located </w:t>
      </w:r>
      <w:r w:rsidR="0080036D">
        <w:rPr>
          <w:rFonts w:ascii="Calibri" w:hAnsi="Calibri" w:cs="Calibri"/>
          <w:b/>
          <w:bCs/>
        </w:rPr>
        <w:t>and</w:t>
      </w:r>
      <w:r w:rsidR="0080036D">
        <w:rPr>
          <w:rFonts w:ascii="Calibri" w:hAnsi="Calibri" w:cs="Calibri"/>
        </w:rPr>
        <w:t xml:space="preserve"> the state(s) in which your clients are located will be relevant to the UPL determination,</w:t>
      </w:r>
      <w:r w:rsidR="0080036D" w:rsidRPr="006F671C">
        <w:rPr>
          <w:rFonts w:cstheme="minorHAnsi"/>
        </w:rPr>
        <w:t xml:space="preserve"> </w:t>
      </w:r>
      <w:r w:rsidR="00873BC6">
        <w:rPr>
          <w:rFonts w:cstheme="minorHAnsi"/>
        </w:rPr>
        <w:t>the possibility of UPL allegations is a</w:t>
      </w:r>
      <w:r w:rsidR="00D7488A" w:rsidRPr="006F671C">
        <w:rPr>
          <w:rFonts w:cstheme="minorHAnsi"/>
        </w:rPr>
        <w:t xml:space="preserve"> </w:t>
      </w:r>
      <w:r w:rsidR="00A96D60" w:rsidRPr="006F671C">
        <w:rPr>
          <w:rFonts w:cstheme="minorHAnsi"/>
        </w:rPr>
        <w:t>significant</w:t>
      </w:r>
      <w:r w:rsidR="00D7488A" w:rsidRPr="006F671C">
        <w:rPr>
          <w:rFonts w:cstheme="minorHAnsi"/>
        </w:rPr>
        <w:t xml:space="preserve"> risk. As of the date of this writing, no state has clari</w:t>
      </w:r>
      <w:r w:rsidR="00873BC6">
        <w:rPr>
          <w:rFonts w:cstheme="minorHAnsi"/>
        </w:rPr>
        <w:t>fied</w:t>
      </w:r>
      <w:r w:rsidR="00D7488A" w:rsidRPr="006F671C">
        <w:rPr>
          <w:rFonts w:cstheme="minorHAnsi"/>
        </w:rPr>
        <w:t xml:space="preserve"> whether providing advice to clients regarding the CTA would, or would not, be viewed as </w:t>
      </w:r>
      <w:r w:rsidR="00C92646">
        <w:rPr>
          <w:rFonts w:cstheme="minorHAnsi"/>
        </w:rPr>
        <w:t>an unauthorized practice of law</w:t>
      </w:r>
      <w:r w:rsidR="00D7488A" w:rsidRPr="006F671C">
        <w:rPr>
          <w:rFonts w:cstheme="minorHAnsi"/>
        </w:rPr>
        <w:t xml:space="preserve">. </w:t>
      </w:r>
    </w:p>
    <w:p w14:paraId="40EF4FFC" w14:textId="77777777" w:rsidR="00893D06" w:rsidRPr="006F671C" w:rsidRDefault="00893D06" w:rsidP="00E806A2">
      <w:pPr>
        <w:spacing w:after="0"/>
        <w:ind w:left="720"/>
        <w:rPr>
          <w:rFonts w:cstheme="minorHAnsi"/>
        </w:rPr>
      </w:pPr>
    </w:p>
    <w:p w14:paraId="22FB9E2E" w14:textId="7AAF41B1" w:rsidR="00CC40D4" w:rsidRPr="006F671C" w:rsidRDefault="00CC40D4" w:rsidP="006F671C">
      <w:pPr>
        <w:rPr>
          <w:rFonts w:cstheme="minorHAnsi"/>
          <w:b/>
          <w:bCs/>
          <w:i/>
          <w:iCs/>
        </w:rPr>
      </w:pPr>
      <w:r w:rsidRPr="006F671C">
        <w:rPr>
          <w:rFonts w:cstheme="minorHAnsi"/>
          <w:b/>
          <w:bCs/>
        </w:rPr>
        <w:t xml:space="preserve">Q. </w:t>
      </w:r>
      <w:r w:rsidR="00EC02F1" w:rsidRPr="006F671C">
        <w:rPr>
          <w:rFonts w:cstheme="minorHAnsi"/>
          <w:b/>
          <w:bCs/>
        </w:rPr>
        <w:t>Does</w:t>
      </w:r>
      <w:r w:rsidRPr="006F671C">
        <w:rPr>
          <w:rFonts w:cstheme="minorHAnsi"/>
          <w:b/>
          <w:bCs/>
        </w:rPr>
        <w:t xml:space="preserve"> FinCEN </w:t>
      </w:r>
      <w:r w:rsidR="00EC02F1" w:rsidRPr="006F671C">
        <w:rPr>
          <w:rFonts w:cstheme="minorHAnsi"/>
          <w:b/>
          <w:bCs/>
        </w:rPr>
        <w:t>allow CPAs to file the required BOI reporting form on behalf of their clients</w:t>
      </w:r>
      <w:r w:rsidR="00873BC6">
        <w:rPr>
          <w:rFonts w:cstheme="minorHAnsi"/>
          <w:b/>
          <w:bCs/>
        </w:rPr>
        <w:t>? I</w:t>
      </w:r>
      <w:r w:rsidR="00EC02F1" w:rsidRPr="006F671C">
        <w:rPr>
          <w:rFonts w:cstheme="minorHAnsi"/>
          <w:b/>
          <w:bCs/>
        </w:rPr>
        <w:t xml:space="preserve">f so, would this eliminate the </w:t>
      </w:r>
      <w:r w:rsidR="00873BC6">
        <w:rPr>
          <w:rFonts w:cstheme="minorHAnsi"/>
          <w:b/>
          <w:bCs/>
        </w:rPr>
        <w:t xml:space="preserve">UPL </w:t>
      </w:r>
      <w:r w:rsidR="00EC02F1" w:rsidRPr="006F671C">
        <w:rPr>
          <w:rFonts w:cstheme="minorHAnsi"/>
          <w:b/>
          <w:bCs/>
        </w:rPr>
        <w:t>risk?</w:t>
      </w:r>
    </w:p>
    <w:p w14:paraId="38D1867E" w14:textId="4230E35E" w:rsidR="00FC1809" w:rsidRPr="006F671C" w:rsidRDefault="00CC40D4" w:rsidP="00E65744">
      <w:pPr>
        <w:shd w:val="clear" w:color="auto" w:fill="FFFFFF"/>
        <w:spacing w:after="0" w:line="240" w:lineRule="auto"/>
        <w:ind w:left="720"/>
        <w:outlineLvl w:val="1"/>
        <w:rPr>
          <w:rFonts w:cstheme="minorHAnsi"/>
        </w:rPr>
      </w:pPr>
      <w:r w:rsidRPr="006F671C">
        <w:rPr>
          <w:rFonts w:cstheme="minorHAnsi"/>
          <w:b/>
          <w:bCs/>
        </w:rPr>
        <w:t>A.</w:t>
      </w:r>
      <w:r w:rsidRPr="006F671C">
        <w:rPr>
          <w:rFonts w:cstheme="minorHAnsi"/>
        </w:rPr>
        <w:t xml:space="preserve"> </w:t>
      </w:r>
      <w:r w:rsidR="00EC02F1" w:rsidRPr="006F671C">
        <w:rPr>
          <w:rFonts w:cstheme="minorHAnsi"/>
        </w:rPr>
        <w:t xml:space="preserve">FinCEN </w:t>
      </w:r>
      <w:r w:rsidR="000602B9" w:rsidRPr="006F671C">
        <w:rPr>
          <w:rFonts w:cstheme="minorHAnsi"/>
        </w:rPr>
        <w:t xml:space="preserve">does </w:t>
      </w:r>
      <w:r w:rsidR="00EC02F1" w:rsidRPr="006F671C">
        <w:rPr>
          <w:rFonts w:cstheme="minorHAnsi"/>
        </w:rPr>
        <w:t xml:space="preserve">allow clients and/or their authorized representatives (which </w:t>
      </w:r>
      <w:r w:rsidR="00F56F8C">
        <w:rPr>
          <w:rFonts w:cstheme="minorHAnsi"/>
        </w:rPr>
        <w:t>w</w:t>
      </w:r>
      <w:r w:rsidR="003524E1">
        <w:rPr>
          <w:rFonts w:cstheme="minorHAnsi"/>
        </w:rPr>
        <w:t>o</w:t>
      </w:r>
      <w:r w:rsidR="00EC02F1" w:rsidRPr="006F671C">
        <w:rPr>
          <w:rFonts w:cstheme="minorHAnsi"/>
        </w:rPr>
        <w:t>uld include CPAs and attorneys) to file the required BOI reporting form</w:t>
      </w:r>
      <w:r w:rsidR="00624F59" w:rsidRPr="006F671C">
        <w:rPr>
          <w:rFonts w:cstheme="minorHAnsi"/>
        </w:rPr>
        <w:t xml:space="preserve">. </w:t>
      </w:r>
    </w:p>
    <w:p w14:paraId="6F429BB5" w14:textId="77777777" w:rsidR="00FC1809" w:rsidRPr="006F671C" w:rsidRDefault="00FC1809" w:rsidP="00E65744">
      <w:pPr>
        <w:shd w:val="clear" w:color="auto" w:fill="FFFFFF"/>
        <w:spacing w:after="0" w:line="240" w:lineRule="auto"/>
        <w:ind w:left="720"/>
        <w:outlineLvl w:val="1"/>
        <w:rPr>
          <w:rFonts w:cstheme="minorHAnsi"/>
        </w:rPr>
      </w:pPr>
    </w:p>
    <w:p w14:paraId="7A190EC7" w14:textId="0F299755" w:rsidR="00EB447D" w:rsidRDefault="00624F59" w:rsidP="00E65744">
      <w:pPr>
        <w:shd w:val="clear" w:color="auto" w:fill="FFFFFF"/>
        <w:ind w:left="720"/>
        <w:rPr>
          <w:rFonts w:eastAsia="Times New Roman" w:cstheme="minorHAnsi"/>
        </w:rPr>
      </w:pPr>
      <w:r w:rsidRPr="006F671C">
        <w:rPr>
          <w:rFonts w:cstheme="minorHAnsi"/>
        </w:rPr>
        <w:t xml:space="preserve">However, </w:t>
      </w:r>
      <w:r w:rsidR="00D625B7" w:rsidRPr="006F671C">
        <w:rPr>
          <w:rFonts w:cstheme="minorHAnsi"/>
        </w:rPr>
        <w:t xml:space="preserve">FinCEN has </w:t>
      </w:r>
      <w:r w:rsidRPr="006F671C">
        <w:rPr>
          <w:rFonts w:cstheme="minorHAnsi"/>
          <w:b/>
          <w:bCs/>
        </w:rPr>
        <w:t>NO</w:t>
      </w:r>
      <w:r w:rsidR="00D625B7" w:rsidRPr="006F671C">
        <w:rPr>
          <w:rFonts w:cstheme="minorHAnsi"/>
        </w:rPr>
        <w:t xml:space="preserve"> authority to opine on </w:t>
      </w:r>
      <w:r w:rsidR="00873BC6">
        <w:rPr>
          <w:rFonts w:cstheme="minorHAnsi"/>
        </w:rPr>
        <w:t>state law regarding</w:t>
      </w:r>
      <w:r w:rsidR="00D625B7" w:rsidRPr="006F671C">
        <w:rPr>
          <w:rFonts w:cstheme="minorHAnsi"/>
        </w:rPr>
        <w:t xml:space="preserve"> the unauthorized practice of law. Consequently, as the UPL determination is not made by FinCEN but instead would be determined by the state(s) in which your firm and client</w:t>
      </w:r>
      <w:r w:rsidR="00873BC6">
        <w:rPr>
          <w:rFonts w:cstheme="minorHAnsi"/>
        </w:rPr>
        <w:t>s</w:t>
      </w:r>
      <w:r w:rsidR="00D625B7" w:rsidRPr="006F671C">
        <w:rPr>
          <w:rFonts w:cstheme="minorHAnsi"/>
        </w:rPr>
        <w:t xml:space="preserve"> are located, </w:t>
      </w:r>
      <w:r w:rsidR="00F812BA">
        <w:rPr>
          <w:rFonts w:cstheme="minorHAnsi"/>
        </w:rPr>
        <w:t xml:space="preserve">it would </w:t>
      </w:r>
      <w:r w:rsidR="00F812BA" w:rsidRPr="002B5977">
        <w:rPr>
          <w:rFonts w:cstheme="minorHAnsi"/>
          <w:b/>
          <w:bCs/>
        </w:rPr>
        <w:t>NOT</w:t>
      </w:r>
      <w:r w:rsidR="00F812BA">
        <w:rPr>
          <w:rFonts w:cstheme="minorHAnsi"/>
        </w:rPr>
        <w:t xml:space="preserve"> be prudent to rely </w:t>
      </w:r>
      <w:r w:rsidR="00D625B7" w:rsidRPr="006F671C">
        <w:rPr>
          <w:rFonts w:cstheme="minorHAnsi"/>
        </w:rPr>
        <w:t xml:space="preserve">solely on FinCEN’s acceptance of CPAs filing such forms to determine the appropriateness of </w:t>
      </w:r>
      <w:r w:rsidR="000602B9" w:rsidRPr="006F671C">
        <w:rPr>
          <w:rFonts w:cstheme="minorHAnsi"/>
        </w:rPr>
        <w:t xml:space="preserve">CPAs providing </w:t>
      </w:r>
      <w:r w:rsidR="00966724" w:rsidRPr="006F671C">
        <w:rPr>
          <w:rFonts w:cstheme="minorHAnsi"/>
          <w:color w:val="000000"/>
        </w:rPr>
        <w:t>clients with C</w:t>
      </w:r>
      <w:r w:rsidR="00D625B7" w:rsidRPr="006F671C">
        <w:rPr>
          <w:rFonts w:cstheme="minorHAnsi"/>
        </w:rPr>
        <w:t>TA</w:t>
      </w:r>
      <w:r w:rsidR="000602B9" w:rsidRPr="006F671C">
        <w:rPr>
          <w:rFonts w:cstheme="minorHAnsi"/>
        </w:rPr>
        <w:t>-</w:t>
      </w:r>
      <w:r w:rsidR="00D625B7" w:rsidRPr="006F671C">
        <w:rPr>
          <w:rFonts w:cstheme="minorHAnsi"/>
        </w:rPr>
        <w:t xml:space="preserve">related guidance and advice </w:t>
      </w:r>
      <w:r w:rsidR="00966724" w:rsidRPr="006F671C">
        <w:rPr>
          <w:rFonts w:cstheme="minorHAnsi"/>
        </w:rPr>
        <w:t>in</w:t>
      </w:r>
      <w:r w:rsidR="003C6545">
        <w:rPr>
          <w:rFonts w:cstheme="minorHAnsi"/>
        </w:rPr>
        <w:t xml:space="preserve"> </w:t>
      </w:r>
      <w:r w:rsidR="003C6545">
        <w:t xml:space="preserve">determining if an exemption applies to the nature of the entity or whether certain legal relationships constitute </w:t>
      </w:r>
      <w:r w:rsidR="007673D3">
        <w:t>“</w:t>
      </w:r>
      <w:r w:rsidR="003C6545">
        <w:t>beneficial ownership</w:t>
      </w:r>
      <w:r w:rsidR="00F812BA">
        <w:t>.</w:t>
      </w:r>
      <w:r w:rsidR="007673D3">
        <w:t>”</w:t>
      </w:r>
      <w:r w:rsidR="00966724" w:rsidRPr="006F671C">
        <w:rPr>
          <w:rFonts w:cstheme="minorHAnsi"/>
        </w:rPr>
        <w:t xml:space="preserve"> </w:t>
      </w:r>
      <w:r w:rsidR="00FA5CE2">
        <w:rPr>
          <w:rFonts w:cstheme="minorHAnsi"/>
        </w:rPr>
        <w:t xml:space="preserve">In addition, as </w:t>
      </w:r>
      <w:r w:rsidR="00EB447D" w:rsidRPr="006F671C">
        <w:rPr>
          <w:rFonts w:eastAsia="Times New Roman" w:cstheme="minorHAnsi"/>
        </w:rPr>
        <w:t xml:space="preserve">CAMICO </w:t>
      </w:r>
      <w:r w:rsidR="00FA5CE2">
        <w:rPr>
          <w:rFonts w:eastAsia="Times New Roman" w:cstheme="minorHAnsi"/>
        </w:rPr>
        <w:t xml:space="preserve">is NOT a </w:t>
      </w:r>
      <w:r w:rsidR="00EB447D" w:rsidRPr="006F671C">
        <w:rPr>
          <w:rFonts w:eastAsia="Times New Roman" w:cstheme="minorHAnsi"/>
        </w:rPr>
        <w:t>“decider</w:t>
      </w:r>
      <w:r w:rsidR="00FA5CE2">
        <w:rPr>
          <w:rFonts w:eastAsia="Times New Roman" w:cstheme="minorHAnsi"/>
        </w:rPr>
        <w:t xml:space="preserve"> </w:t>
      </w:r>
      <w:r w:rsidR="00EB447D" w:rsidRPr="006F671C">
        <w:rPr>
          <w:rFonts w:eastAsia="Times New Roman" w:cstheme="minorHAnsi"/>
        </w:rPr>
        <w:t xml:space="preserve">of fact” in determining what would be deemed the </w:t>
      </w:r>
      <w:r w:rsidR="00F82F83">
        <w:rPr>
          <w:rFonts w:eastAsia="Times New Roman" w:cstheme="minorHAnsi"/>
        </w:rPr>
        <w:t>un</w:t>
      </w:r>
      <w:r w:rsidR="00EB447D" w:rsidRPr="006F671C">
        <w:rPr>
          <w:rFonts w:eastAsia="Times New Roman" w:cstheme="minorHAnsi"/>
        </w:rPr>
        <w:t xml:space="preserve">authorized practice of law for </w:t>
      </w:r>
      <w:r w:rsidR="00EB447D" w:rsidRPr="00FA5CE2">
        <w:rPr>
          <w:rFonts w:eastAsia="Times New Roman" w:cstheme="minorHAnsi"/>
        </w:rPr>
        <w:t>each respective state,</w:t>
      </w:r>
      <w:r w:rsidR="00FA5CE2" w:rsidRPr="00FA5CE2">
        <w:rPr>
          <w:rFonts w:eastAsia="Times New Roman" w:cstheme="minorHAnsi"/>
        </w:rPr>
        <w:t xml:space="preserve"> we </w:t>
      </w:r>
      <w:r w:rsidR="00EB447D" w:rsidRPr="00FA5CE2">
        <w:rPr>
          <w:rFonts w:eastAsia="Times New Roman" w:cstheme="minorHAnsi"/>
        </w:rPr>
        <w:t>cannot opine on the appropriateness of CPA firms rendering service</w:t>
      </w:r>
      <w:r w:rsidR="00FA5CE2" w:rsidRPr="00FA5CE2">
        <w:rPr>
          <w:rFonts w:eastAsia="Times New Roman" w:cstheme="minorHAnsi"/>
        </w:rPr>
        <w:t xml:space="preserve">s such as </w:t>
      </w:r>
      <w:r w:rsidR="00FA5CE2" w:rsidRPr="00FA5CE2">
        <w:t>determining if an exemption applies</w:t>
      </w:r>
      <w:r w:rsidR="007673D3">
        <w:t xml:space="preserve"> due</w:t>
      </w:r>
      <w:r w:rsidR="00FA5CE2" w:rsidRPr="00FA5CE2">
        <w:t xml:space="preserve"> to the nature of the entity or assessing whether certain legal relationships constitute </w:t>
      </w:r>
      <w:r w:rsidR="007673D3">
        <w:t>“</w:t>
      </w:r>
      <w:r w:rsidR="00FA5CE2" w:rsidRPr="00FA5CE2">
        <w:t>beneficial ownership</w:t>
      </w:r>
      <w:r w:rsidR="00EB447D" w:rsidRPr="00FA5CE2">
        <w:rPr>
          <w:rFonts w:eastAsia="Times New Roman" w:cstheme="minorHAnsi"/>
        </w:rPr>
        <w:t>.</w:t>
      </w:r>
      <w:r w:rsidR="007673D3">
        <w:rPr>
          <w:rFonts w:eastAsia="Times New Roman" w:cstheme="minorHAnsi"/>
        </w:rPr>
        <w:t>”</w:t>
      </w:r>
    </w:p>
    <w:p w14:paraId="52F8BAC1" w14:textId="77777777" w:rsidR="001E7A49" w:rsidRDefault="001E7A49">
      <w:pPr>
        <w:rPr>
          <w:rFonts w:cstheme="minorHAnsi"/>
          <w:b/>
          <w:bCs/>
        </w:rPr>
      </w:pPr>
      <w:r>
        <w:rPr>
          <w:rFonts w:cstheme="minorHAnsi"/>
          <w:b/>
          <w:bCs/>
        </w:rPr>
        <w:br w:type="page"/>
      </w:r>
    </w:p>
    <w:p w14:paraId="73047029" w14:textId="1106F52F" w:rsidR="00106E3D" w:rsidRPr="00D57778" w:rsidRDefault="00106E3D" w:rsidP="00106E3D">
      <w:pPr>
        <w:rPr>
          <w:rFonts w:cstheme="minorHAnsi"/>
          <w:b/>
          <w:bCs/>
          <w:i/>
          <w:iCs/>
        </w:rPr>
      </w:pPr>
      <w:r w:rsidRPr="00D57778">
        <w:rPr>
          <w:rFonts w:cstheme="minorHAnsi"/>
          <w:b/>
          <w:bCs/>
        </w:rPr>
        <w:lastRenderedPageBreak/>
        <w:t>Q. Why are CPAs and tax practitioners allowed to prepare FBAR reports and not face UPL</w:t>
      </w:r>
      <w:r w:rsidR="005F3569">
        <w:rPr>
          <w:rFonts w:cstheme="minorHAnsi"/>
          <w:b/>
          <w:bCs/>
        </w:rPr>
        <w:t>-</w:t>
      </w:r>
      <w:r w:rsidRPr="00D57778">
        <w:rPr>
          <w:rFonts w:cstheme="minorHAnsi"/>
          <w:b/>
          <w:bCs/>
        </w:rPr>
        <w:t>related concerns, but potential</w:t>
      </w:r>
      <w:r w:rsidR="00566331">
        <w:rPr>
          <w:rFonts w:cstheme="minorHAnsi"/>
          <w:b/>
          <w:bCs/>
        </w:rPr>
        <w:t>ly face</w:t>
      </w:r>
      <w:r w:rsidRPr="00D57778">
        <w:rPr>
          <w:rFonts w:cstheme="minorHAnsi"/>
          <w:b/>
          <w:bCs/>
        </w:rPr>
        <w:t xml:space="preserve"> UPL issues </w:t>
      </w:r>
      <w:r w:rsidR="00566331">
        <w:rPr>
          <w:rFonts w:cstheme="minorHAnsi"/>
          <w:b/>
          <w:bCs/>
        </w:rPr>
        <w:t>by assisting with</w:t>
      </w:r>
      <w:r w:rsidRPr="00D57778">
        <w:rPr>
          <w:rFonts w:cstheme="minorHAnsi"/>
          <w:b/>
          <w:bCs/>
        </w:rPr>
        <w:t xml:space="preserve"> FinCEN BOI reports?</w:t>
      </w:r>
    </w:p>
    <w:p w14:paraId="5B39018C" w14:textId="5D237A63" w:rsidR="0004681B" w:rsidRPr="00D57778" w:rsidRDefault="00106E3D" w:rsidP="000E45EF">
      <w:pPr>
        <w:shd w:val="clear" w:color="auto" w:fill="FFFFFF"/>
        <w:spacing w:after="0" w:line="240" w:lineRule="auto"/>
        <w:ind w:left="720"/>
        <w:outlineLvl w:val="1"/>
        <w:rPr>
          <w:rFonts w:cstheme="minorHAnsi"/>
        </w:rPr>
      </w:pPr>
      <w:r w:rsidRPr="00D57778">
        <w:rPr>
          <w:rFonts w:cstheme="minorHAnsi"/>
          <w:b/>
          <w:bCs/>
        </w:rPr>
        <w:t>A.</w:t>
      </w:r>
      <w:r w:rsidRPr="00D57778">
        <w:rPr>
          <w:rFonts w:cstheme="minorHAnsi"/>
        </w:rPr>
        <w:t xml:space="preserve"> The primary difference is that the IRS is responsible for collecting and processing FBAR reports (FinCEN 114) and as such, tax practitioners have been granted limited authority for such preparation because it is administered by the IRS.</w:t>
      </w:r>
      <w:r w:rsidR="00D57778">
        <w:rPr>
          <w:rFonts w:cstheme="minorHAnsi"/>
        </w:rPr>
        <w:t xml:space="preserve"> </w:t>
      </w:r>
      <w:r w:rsidR="00D57778" w:rsidRPr="00D57778">
        <w:rPr>
          <w:rFonts w:eastAsia="Times New Roman" w:cstheme="minorHAnsi"/>
          <w:color w:val="212529"/>
        </w:rPr>
        <w:t>As the CTA is not a part of the tax code,</w:t>
      </w:r>
      <w:r w:rsidR="00D57778" w:rsidRPr="00D57778">
        <w:rPr>
          <w:rFonts w:cstheme="minorHAnsi"/>
        </w:rPr>
        <w:t xml:space="preserve"> and to date,</w:t>
      </w:r>
      <w:r w:rsidR="00566331">
        <w:rPr>
          <w:rFonts w:cstheme="minorHAnsi"/>
        </w:rPr>
        <w:t xml:space="preserve"> the IRS has</w:t>
      </w:r>
      <w:r w:rsidR="00D57778" w:rsidRPr="00D57778">
        <w:rPr>
          <w:rFonts w:cstheme="minorHAnsi"/>
        </w:rPr>
        <w:t xml:space="preserve"> </w:t>
      </w:r>
      <w:r w:rsidR="00D57778" w:rsidRPr="00647E27">
        <w:rPr>
          <w:rFonts w:cstheme="minorHAnsi"/>
          <w:b/>
          <w:bCs/>
        </w:rPr>
        <w:t>no</w:t>
      </w:r>
      <w:r w:rsidR="00566331" w:rsidRPr="00647E27">
        <w:rPr>
          <w:rFonts w:cstheme="minorHAnsi"/>
          <w:b/>
          <w:bCs/>
        </w:rPr>
        <w:t>t</w:t>
      </w:r>
      <w:r w:rsidR="00566331">
        <w:rPr>
          <w:rFonts w:cstheme="minorHAnsi"/>
        </w:rPr>
        <w:t xml:space="preserve"> been</w:t>
      </w:r>
      <w:r w:rsidR="00D57778" w:rsidRPr="00D57778">
        <w:rPr>
          <w:rFonts w:cstheme="minorHAnsi"/>
        </w:rPr>
        <w:t xml:space="preserve"> designated an enforcement agent for the CTA,</w:t>
      </w:r>
      <w:r w:rsidR="00D57778" w:rsidRPr="00D57778">
        <w:rPr>
          <w:rFonts w:eastAsia="Times New Roman" w:cstheme="minorHAnsi"/>
          <w:color w:val="212529"/>
        </w:rPr>
        <w:t xml:space="preserve"> the assessment and application of many of the requirements set forth in the regulations, including but not limited to the determination of beneficial ownership interest, may necessitate the need for legal guidance and direction.</w:t>
      </w:r>
    </w:p>
    <w:p w14:paraId="2385D108" w14:textId="77777777" w:rsidR="0004681B" w:rsidRDefault="0004681B" w:rsidP="00647E27">
      <w:pPr>
        <w:shd w:val="clear" w:color="auto" w:fill="FFFFFF"/>
        <w:spacing w:after="0" w:line="240" w:lineRule="auto"/>
        <w:outlineLvl w:val="1"/>
        <w:rPr>
          <w:rFonts w:cstheme="minorHAnsi"/>
          <w:b/>
          <w:bCs/>
        </w:rPr>
      </w:pPr>
    </w:p>
    <w:p w14:paraId="619118A2" w14:textId="19A0A2B9" w:rsidR="0004681B" w:rsidRDefault="0023619B" w:rsidP="006F671C">
      <w:pPr>
        <w:rPr>
          <w:rFonts w:cstheme="minorHAnsi"/>
          <w:b/>
          <w:bCs/>
        </w:rPr>
      </w:pPr>
      <w:r w:rsidRPr="006F671C">
        <w:rPr>
          <w:rFonts w:cstheme="minorHAnsi"/>
          <w:b/>
          <w:bCs/>
        </w:rPr>
        <w:t xml:space="preserve">Q. </w:t>
      </w:r>
      <w:r w:rsidR="003C6545">
        <w:rPr>
          <w:rFonts w:cstheme="minorHAnsi"/>
          <w:b/>
          <w:bCs/>
        </w:rPr>
        <w:t xml:space="preserve">I understand that </w:t>
      </w:r>
      <w:r w:rsidR="003C6545" w:rsidRPr="003C6545">
        <w:rPr>
          <w:b/>
          <w:bCs/>
        </w:rPr>
        <w:t xml:space="preserve">determining </w:t>
      </w:r>
      <w:r w:rsidR="00566331">
        <w:rPr>
          <w:b/>
          <w:bCs/>
        </w:rPr>
        <w:t>whether</w:t>
      </w:r>
      <w:r w:rsidR="00566331" w:rsidRPr="003C6545">
        <w:rPr>
          <w:b/>
          <w:bCs/>
        </w:rPr>
        <w:t xml:space="preserve"> </w:t>
      </w:r>
      <w:r w:rsidR="003C6545" w:rsidRPr="003C6545">
        <w:rPr>
          <w:b/>
          <w:bCs/>
        </w:rPr>
        <w:t xml:space="preserve">an exemption applies to the nature of the entity or assessing whether certain legal relationships constitute </w:t>
      </w:r>
      <w:r w:rsidR="00FF198E">
        <w:rPr>
          <w:b/>
          <w:bCs/>
        </w:rPr>
        <w:t>“</w:t>
      </w:r>
      <w:r w:rsidR="003C6545" w:rsidRPr="003C6545">
        <w:rPr>
          <w:b/>
          <w:bCs/>
        </w:rPr>
        <w:t>beneficial</w:t>
      </w:r>
      <w:r w:rsidR="00FF198E" w:rsidRPr="003C6545">
        <w:rPr>
          <w:b/>
          <w:bCs/>
        </w:rPr>
        <w:t xml:space="preserve"> </w:t>
      </w:r>
      <w:r w:rsidR="003C6545" w:rsidRPr="003C6545">
        <w:rPr>
          <w:b/>
          <w:bCs/>
        </w:rPr>
        <w:t>ownership</w:t>
      </w:r>
      <w:r w:rsidR="00FF198E">
        <w:rPr>
          <w:b/>
          <w:bCs/>
        </w:rPr>
        <w:t>”</w:t>
      </w:r>
      <w:r w:rsidR="003C6545" w:rsidRPr="003C6545">
        <w:rPr>
          <w:b/>
          <w:bCs/>
        </w:rPr>
        <w:t xml:space="preserve"> may constitute UPL, but w</w:t>
      </w:r>
      <w:r w:rsidRPr="003C6545">
        <w:rPr>
          <w:rFonts w:cstheme="minorHAnsi"/>
          <w:b/>
          <w:bCs/>
        </w:rPr>
        <w:t>hat</w:t>
      </w:r>
      <w:r w:rsidRPr="006F671C">
        <w:rPr>
          <w:rFonts w:cstheme="minorHAnsi"/>
          <w:b/>
          <w:bCs/>
        </w:rPr>
        <w:t xml:space="preserve"> if I have a </w:t>
      </w:r>
      <w:r w:rsidR="00AB71E8">
        <w:rPr>
          <w:rFonts w:cstheme="minorHAnsi"/>
          <w:b/>
          <w:bCs/>
        </w:rPr>
        <w:t xml:space="preserve">straightforward </w:t>
      </w:r>
      <w:r w:rsidRPr="006F671C">
        <w:rPr>
          <w:rFonts w:cstheme="minorHAnsi"/>
          <w:b/>
          <w:bCs/>
        </w:rPr>
        <w:t>client</w:t>
      </w:r>
      <w:r w:rsidR="00AB71E8">
        <w:rPr>
          <w:rFonts w:cstheme="minorHAnsi"/>
          <w:b/>
          <w:bCs/>
        </w:rPr>
        <w:t>, with NO complexity</w:t>
      </w:r>
      <w:r w:rsidR="003C6545">
        <w:rPr>
          <w:rFonts w:cstheme="minorHAnsi"/>
          <w:b/>
          <w:bCs/>
        </w:rPr>
        <w:t>. Would this</w:t>
      </w:r>
      <w:r w:rsidR="00AB71E8">
        <w:rPr>
          <w:rFonts w:cstheme="minorHAnsi"/>
          <w:b/>
          <w:bCs/>
        </w:rPr>
        <w:t xml:space="preserve"> scenario eliminate the risk associated with the UPL issue?</w:t>
      </w:r>
      <w:r w:rsidRPr="006F671C">
        <w:rPr>
          <w:rFonts w:cstheme="minorHAnsi"/>
          <w:b/>
          <w:bCs/>
        </w:rPr>
        <w:t xml:space="preserve"> </w:t>
      </w:r>
    </w:p>
    <w:p w14:paraId="242942C2" w14:textId="5E77A078" w:rsidR="003C6545" w:rsidRDefault="0023619B" w:rsidP="00F111D1">
      <w:pPr>
        <w:ind w:left="720"/>
      </w:pPr>
      <w:r w:rsidRPr="006F671C">
        <w:rPr>
          <w:b/>
          <w:bCs/>
        </w:rPr>
        <w:t>A.</w:t>
      </w:r>
      <w:r w:rsidRPr="006F671C">
        <w:t xml:space="preserve"> </w:t>
      </w:r>
      <w:r w:rsidRPr="00AB71E8">
        <w:t>Yes,</w:t>
      </w:r>
      <w:r w:rsidR="006C5522" w:rsidRPr="00AB71E8">
        <w:t xml:space="preserve"> </w:t>
      </w:r>
      <w:r w:rsidR="00AB71E8" w:rsidRPr="00AB71E8">
        <w:t>if your</w:t>
      </w:r>
      <w:r w:rsidR="006C5522" w:rsidRPr="00AB71E8">
        <w:t xml:space="preserve"> </w:t>
      </w:r>
      <w:r w:rsidR="00AB71E8" w:rsidRPr="00AB71E8">
        <w:t xml:space="preserve">client is a straightforward entity with NO complexity that is obviously deemed a Reporting Company under the regulations, and </w:t>
      </w:r>
      <w:r w:rsidR="00AB71E8">
        <w:t>identifying</w:t>
      </w:r>
      <w:r w:rsidR="00AB71E8" w:rsidRPr="00AB71E8">
        <w:t xml:space="preserve"> beneficial owners would require no</w:t>
      </w:r>
      <w:r w:rsidR="00E935DE">
        <w:t xml:space="preserve"> </w:t>
      </w:r>
      <w:r w:rsidR="00CB6E37">
        <w:t>legal advice or l</w:t>
      </w:r>
      <w:r w:rsidR="00BA1DD1">
        <w:t>egal</w:t>
      </w:r>
      <w:r w:rsidR="00AB71E8" w:rsidRPr="00AB71E8">
        <w:t xml:space="preserve"> interpretation of facts and circumstances, </w:t>
      </w:r>
      <w:r w:rsidR="006C5522" w:rsidRPr="00AB71E8">
        <w:t xml:space="preserve">the UPL risk would not be an issue. </w:t>
      </w:r>
    </w:p>
    <w:p w14:paraId="7320842B" w14:textId="7541664A" w:rsidR="00050DF6" w:rsidRPr="00B014CC" w:rsidRDefault="006C5522" w:rsidP="00050DF6">
      <w:pPr>
        <w:shd w:val="clear" w:color="auto" w:fill="FFFFFF"/>
        <w:ind w:left="720"/>
        <w:rPr>
          <w:rFonts w:eastAsia="Times New Roman" w:cstheme="minorHAnsi"/>
          <w:lang w:val="en"/>
        </w:rPr>
      </w:pPr>
      <w:r w:rsidRPr="003835A4">
        <w:rPr>
          <w:rFonts w:cstheme="minorHAnsi"/>
        </w:rPr>
        <w:t xml:space="preserve">With that said, CAMICO would strongly recommend that you have a standalone engagement letter for the filing of the </w:t>
      </w:r>
      <w:r w:rsidR="00E722CF">
        <w:rPr>
          <w:rFonts w:cstheme="minorHAnsi"/>
        </w:rPr>
        <w:t xml:space="preserve">initial </w:t>
      </w:r>
      <w:r w:rsidRPr="003835A4">
        <w:rPr>
          <w:rFonts w:cstheme="minorHAnsi"/>
        </w:rPr>
        <w:t xml:space="preserve">BOI report that </w:t>
      </w:r>
      <w:r w:rsidR="005F08DE" w:rsidRPr="003835A4">
        <w:rPr>
          <w:rFonts w:cstheme="minorHAnsi"/>
        </w:rPr>
        <w:t xml:space="preserve">clarifies the limited </w:t>
      </w:r>
      <w:r w:rsidR="003578C5">
        <w:rPr>
          <w:rFonts w:cstheme="minorHAnsi"/>
        </w:rPr>
        <w:t>“</w:t>
      </w:r>
      <w:r w:rsidR="005F08DE" w:rsidRPr="003835A4">
        <w:rPr>
          <w:rFonts w:cstheme="minorHAnsi"/>
        </w:rPr>
        <w:t>administrative services</w:t>
      </w:r>
      <w:r w:rsidR="003578C5">
        <w:rPr>
          <w:rFonts w:cstheme="minorHAnsi"/>
        </w:rPr>
        <w:t>” or</w:t>
      </w:r>
      <w:r w:rsidR="00E722CF">
        <w:rPr>
          <w:rFonts w:cstheme="minorHAnsi"/>
        </w:rPr>
        <w:t xml:space="preserve"> </w:t>
      </w:r>
      <w:r w:rsidR="003578C5">
        <w:rPr>
          <w:rFonts w:cstheme="minorHAnsi"/>
        </w:rPr>
        <w:t>“</w:t>
      </w:r>
      <w:r w:rsidR="00E722CF">
        <w:rPr>
          <w:rFonts w:cstheme="minorHAnsi"/>
        </w:rPr>
        <w:t>limited</w:t>
      </w:r>
      <w:r w:rsidR="00FA7120">
        <w:rPr>
          <w:rFonts w:cstheme="minorHAnsi"/>
        </w:rPr>
        <w:t xml:space="preserve"> CTA</w:t>
      </w:r>
      <w:r w:rsidR="00E722CF">
        <w:rPr>
          <w:rFonts w:cstheme="minorHAnsi"/>
        </w:rPr>
        <w:t xml:space="preserve"> advisory services</w:t>
      </w:r>
      <w:r w:rsidR="0064581B">
        <w:rPr>
          <w:rFonts w:cstheme="minorHAnsi"/>
        </w:rPr>
        <w:t>”</w:t>
      </w:r>
      <w:r w:rsidR="00E722CF">
        <w:rPr>
          <w:rFonts w:cstheme="minorHAnsi"/>
        </w:rPr>
        <w:t xml:space="preserve"> </w:t>
      </w:r>
      <w:r w:rsidR="005F08DE" w:rsidRPr="003835A4">
        <w:rPr>
          <w:rFonts w:cstheme="minorHAnsi"/>
        </w:rPr>
        <w:t xml:space="preserve">you are </w:t>
      </w:r>
      <w:r w:rsidR="00864133" w:rsidRPr="003835A4">
        <w:rPr>
          <w:rFonts w:cstheme="minorHAnsi"/>
        </w:rPr>
        <w:t>rendering and</w:t>
      </w:r>
      <w:r w:rsidR="005F08DE" w:rsidRPr="003835A4">
        <w:rPr>
          <w:rFonts w:cstheme="minorHAnsi"/>
        </w:rPr>
        <w:t xml:space="preserve"> </w:t>
      </w:r>
      <w:r w:rsidRPr="003835A4">
        <w:rPr>
          <w:rFonts w:cstheme="minorHAnsi"/>
        </w:rPr>
        <w:t>contains appropriate disclaimer language</w:t>
      </w:r>
      <w:r w:rsidR="005F08DE" w:rsidRPr="003835A4">
        <w:rPr>
          <w:rFonts w:cstheme="minorHAnsi"/>
        </w:rPr>
        <w:t xml:space="preserve">. CAMICO would also recommend having the client </w:t>
      </w:r>
      <w:r w:rsidR="00566331">
        <w:rPr>
          <w:rFonts w:cstheme="minorHAnsi"/>
        </w:rPr>
        <w:t>provide</w:t>
      </w:r>
      <w:r w:rsidR="00566331" w:rsidRPr="003835A4">
        <w:rPr>
          <w:rFonts w:cstheme="minorHAnsi"/>
        </w:rPr>
        <w:t xml:space="preserve"> </w:t>
      </w:r>
      <w:r w:rsidR="00566331">
        <w:rPr>
          <w:rFonts w:cstheme="minorHAnsi"/>
        </w:rPr>
        <w:t>written</w:t>
      </w:r>
      <w:r w:rsidR="00566331" w:rsidRPr="003835A4">
        <w:rPr>
          <w:rFonts w:cstheme="minorHAnsi"/>
        </w:rPr>
        <w:t xml:space="preserve"> </w:t>
      </w:r>
      <w:r w:rsidRPr="003835A4">
        <w:rPr>
          <w:rFonts w:cstheme="minorHAnsi"/>
        </w:rPr>
        <w:t>representation</w:t>
      </w:r>
      <w:r w:rsidR="00566331">
        <w:rPr>
          <w:rFonts w:cstheme="minorHAnsi"/>
        </w:rPr>
        <w:t>s</w:t>
      </w:r>
      <w:r w:rsidRPr="003835A4">
        <w:rPr>
          <w:rFonts w:cstheme="minorHAnsi"/>
        </w:rPr>
        <w:t xml:space="preserve"> acknowledg</w:t>
      </w:r>
      <w:r w:rsidR="00566331">
        <w:rPr>
          <w:rFonts w:cstheme="minorHAnsi"/>
        </w:rPr>
        <w:t>ing</w:t>
      </w:r>
      <w:r w:rsidRPr="003835A4">
        <w:rPr>
          <w:rFonts w:cstheme="minorHAnsi"/>
        </w:rPr>
        <w:t xml:space="preserve"> that they are responsible for the accuracy and completeness of the information they provid</w:t>
      </w:r>
      <w:r w:rsidR="00566331">
        <w:rPr>
          <w:rFonts w:cstheme="minorHAnsi"/>
        </w:rPr>
        <w:t>e</w:t>
      </w:r>
      <w:r w:rsidRPr="003835A4">
        <w:rPr>
          <w:rFonts w:cstheme="minorHAnsi"/>
        </w:rPr>
        <w:t xml:space="preserve"> to you for purposes of completing the form on their behalf, and they also acknowledge their understanding that you are NOT performing any legal services as part of this limited service</w:t>
      </w:r>
      <w:r w:rsidRPr="00B014CC">
        <w:rPr>
          <w:rFonts w:cstheme="minorHAnsi"/>
        </w:rPr>
        <w:t>.</w:t>
      </w:r>
      <w:r w:rsidR="003835A4" w:rsidRPr="00B014CC">
        <w:rPr>
          <w:rFonts w:cstheme="minorHAnsi"/>
        </w:rPr>
        <w:t xml:space="preserve"> </w:t>
      </w:r>
      <w:r w:rsidR="00F969BC" w:rsidRPr="00B014CC">
        <w:rPr>
          <w:rFonts w:eastAsia="Times New Roman" w:cstheme="minorHAnsi"/>
          <w:lang w:val="en"/>
        </w:rPr>
        <w:t xml:space="preserve">CAMICO </w:t>
      </w:r>
      <w:r w:rsidR="00107D17" w:rsidRPr="00B014CC">
        <w:rPr>
          <w:rFonts w:eastAsia="Times New Roman" w:cstheme="minorHAnsi"/>
          <w:lang w:val="en"/>
        </w:rPr>
        <w:t xml:space="preserve">has </w:t>
      </w:r>
      <w:r w:rsidR="00F969BC" w:rsidRPr="00B014CC">
        <w:rPr>
          <w:rFonts w:eastAsia="Times New Roman" w:cstheme="minorHAnsi"/>
          <w:lang w:val="en"/>
        </w:rPr>
        <w:t>develop</w:t>
      </w:r>
      <w:r w:rsidR="00107D17" w:rsidRPr="00B014CC">
        <w:rPr>
          <w:rFonts w:eastAsia="Times New Roman" w:cstheme="minorHAnsi"/>
          <w:lang w:val="en"/>
        </w:rPr>
        <w:t>ed</w:t>
      </w:r>
      <w:r w:rsidR="00F969BC" w:rsidRPr="00B014CC">
        <w:rPr>
          <w:rFonts w:eastAsia="Times New Roman" w:cstheme="minorHAnsi"/>
          <w:lang w:val="en"/>
        </w:rPr>
        <w:t xml:space="preserve"> </w:t>
      </w:r>
      <w:r w:rsidR="00AA1748" w:rsidRPr="00B014CC">
        <w:rPr>
          <w:rFonts w:eastAsia="Times New Roman" w:cstheme="minorHAnsi"/>
          <w:lang w:val="en"/>
        </w:rPr>
        <w:t>the following</w:t>
      </w:r>
      <w:r w:rsidR="00F969BC" w:rsidRPr="00B014CC">
        <w:rPr>
          <w:rFonts w:eastAsia="Times New Roman" w:cstheme="minorHAnsi"/>
          <w:lang w:val="en"/>
        </w:rPr>
        <w:t xml:space="preserve"> engagement letter </w:t>
      </w:r>
      <w:r w:rsidR="00AA1748" w:rsidRPr="00B014CC">
        <w:rPr>
          <w:rFonts w:eastAsia="Times New Roman" w:cstheme="minorHAnsi"/>
          <w:lang w:val="en"/>
        </w:rPr>
        <w:t xml:space="preserve">templates </w:t>
      </w:r>
      <w:r w:rsidR="00F969BC" w:rsidRPr="00B014CC">
        <w:rPr>
          <w:rFonts w:eastAsia="Times New Roman" w:cstheme="minorHAnsi"/>
          <w:lang w:val="en"/>
        </w:rPr>
        <w:t xml:space="preserve">and </w:t>
      </w:r>
      <w:r w:rsidR="005F04B8" w:rsidRPr="00B014CC">
        <w:rPr>
          <w:rFonts w:eastAsia="Times New Roman" w:cstheme="minorHAnsi"/>
          <w:lang w:val="en"/>
        </w:rPr>
        <w:t xml:space="preserve">a </w:t>
      </w:r>
      <w:r w:rsidR="00F969BC" w:rsidRPr="00B014CC">
        <w:rPr>
          <w:rFonts w:eastAsia="Times New Roman" w:cstheme="minorHAnsi"/>
          <w:lang w:val="en"/>
        </w:rPr>
        <w:t>client representation letter for this purpose</w:t>
      </w:r>
      <w:r w:rsidR="00AA1748" w:rsidRPr="00B014CC">
        <w:rPr>
          <w:rFonts w:eastAsia="Times New Roman" w:cstheme="minorHAnsi"/>
          <w:lang w:val="en"/>
        </w:rPr>
        <w:t>:</w:t>
      </w:r>
    </w:p>
    <w:p w14:paraId="706031B7" w14:textId="1C8D486F" w:rsidR="00050DF6" w:rsidRPr="00B014CC" w:rsidRDefault="00050DF6" w:rsidP="00B014CC">
      <w:pPr>
        <w:pStyle w:val="ListParagraph"/>
        <w:numPr>
          <w:ilvl w:val="0"/>
          <w:numId w:val="30"/>
        </w:numPr>
        <w:shd w:val="clear" w:color="auto" w:fill="FFFFFF"/>
        <w:spacing w:after="0" w:line="240" w:lineRule="auto"/>
        <w:rPr>
          <w:rFonts w:eastAsia="Times New Roman" w:cstheme="minorHAnsi"/>
          <w:color w:val="1E1E1E"/>
        </w:rPr>
      </w:pPr>
      <w:r w:rsidRPr="00B014CC">
        <w:rPr>
          <w:rFonts w:cstheme="minorHAnsi"/>
        </w:rPr>
        <w:t>Engagement Letter: Administrative Services — Filing of Initial BOI Report</w:t>
      </w:r>
    </w:p>
    <w:p w14:paraId="35604021" w14:textId="77777777" w:rsidR="00050DF6" w:rsidRPr="00B014CC" w:rsidRDefault="00050DF6" w:rsidP="00050DF6">
      <w:pPr>
        <w:pStyle w:val="ListParagraph"/>
        <w:spacing w:after="0" w:line="240" w:lineRule="auto"/>
        <w:ind w:left="1440"/>
        <w:jc w:val="both"/>
        <w:rPr>
          <w:rFonts w:eastAsia="Times New Roman" w:cstheme="minorHAnsi"/>
          <w:color w:val="1E1E1E"/>
        </w:rPr>
      </w:pPr>
    </w:p>
    <w:p w14:paraId="4888F533" w14:textId="0F9BA7DF" w:rsidR="00050DF6" w:rsidRPr="00B014CC" w:rsidRDefault="00050DF6" w:rsidP="00050DF6">
      <w:pPr>
        <w:pStyle w:val="ListParagraph"/>
        <w:numPr>
          <w:ilvl w:val="0"/>
          <w:numId w:val="29"/>
        </w:numPr>
        <w:tabs>
          <w:tab w:val="clear" w:pos="720"/>
          <w:tab w:val="num" w:pos="1440"/>
        </w:tabs>
        <w:spacing w:after="0" w:line="240" w:lineRule="auto"/>
        <w:ind w:left="1440"/>
        <w:jc w:val="both"/>
        <w:rPr>
          <w:rFonts w:eastAsia="Times New Roman" w:cstheme="minorHAnsi"/>
          <w:color w:val="1E1E1E"/>
        </w:rPr>
      </w:pPr>
      <w:r w:rsidRPr="00B014CC">
        <w:rPr>
          <w:rFonts w:cstheme="minorHAnsi"/>
        </w:rPr>
        <w:t xml:space="preserve">Engagement Letter: Limited </w:t>
      </w:r>
      <w:r w:rsidR="00FA7120" w:rsidRPr="00B014CC">
        <w:rPr>
          <w:rFonts w:cstheme="minorHAnsi"/>
        </w:rPr>
        <w:t xml:space="preserve">CTA </w:t>
      </w:r>
      <w:r w:rsidRPr="00B014CC">
        <w:rPr>
          <w:rFonts w:cstheme="minorHAnsi"/>
        </w:rPr>
        <w:t>Advisory Services — Filing of Initial BOI Report</w:t>
      </w:r>
    </w:p>
    <w:p w14:paraId="49337CBE" w14:textId="77777777" w:rsidR="00050DF6" w:rsidRPr="00B014CC" w:rsidRDefault="00050DF6" w:rsidP="00050DF6">
      <w:pPr>
        <w:pStyle w:val="ListParagraph"/>
        <w:spacing w:after="0" w:line="240" w:lineRule="auto"/>
        <w:ind w:left="1440"/>
        <w:jc w:val="both"/>
        <w:rPr>
          <w:rFonts w:eastAsia="Times New Roman" w:cstheme="minorHAnsi"/>
          <w:color w:val="1E1E1E"/>
        </w:rPr>
      </w:pPr>
    </w:p>
    <w:p w14:paraId="57456F58" w14:textId="77777777" w:rsidR="00050DF6" w:rsidRPr="00B014CC" w:rsidRDefault="00050DF6" w:rsidP="00050DF6">
      <w:pPr>
        <w:pStyle w:val="ListParagraph"/>
        <w:numPr>
          <w:ilvl w:val="0"/>
          <w:numId w:val="29"/>
        </w:numPr>
        <w:tabs>
          <w:tab w:val="clear" w:pos="720"/>
          <w:tab w:val="num" w:pos="1440"/>
        </w:tabs>
        <w:spacing w:after="0" w:line="240" w:lineRule="auto"/>
        <w:ind w:left="1440"/>
        <w:jc w:val="both"/>
        <w:rPr>
          <w:rFonts w:eastAsia="Times New Roman" w:cstheme="minorHAnsi"/>
          <w:color w:val="1E1E1E"/>
        </w:rPr>
      </w:pPr>
      <w:r w:rsidRPr="00B014CC">
        <w:rPr>
          <w:rFonts w:cstheme="minorHAnsi"/>
        </w:rPr>
        <w:t>Management Representation Letter — Filing of Initial BOI Report</w:t>
      </w:r>
    </w:p>
    <w:p w14:paraId="13E6B8A3" w14:textId="77777777" w:rsidR="00AA1748" w:rsidRPr="00B014CC" w:rsidRDefault="00AA1748" w:rsidP="00B014CC">
      <w:pPr>
        <w:shd w:val="clear" w:color="auto" w:fill="FFFFFF"/>
        <w:spacing w:after="0" w:line="240" w:lineRule="auto"/>
        <w:ind w:left="720"/>
        <w:rPr>
          <w:rFonts w:eastAsia="Times New Roman" w:cstheme="minorHAnsi"/>
          <w:lang w:val="en"/>
        </w:rPr>
      </w:pPr>
    </w:p>
    <w:p w14:paraId="76043F18" w14:textId="7BA7F802" w:rsidR="00F969BC" w:rsidRDefault="005F04B8" w:rsidP="00050DF6">
      <w:pPr>
        <w:shd w:val="clear" w:color="auto" w:fill="FFFFFF"/>
        <w:spacing w:after="0" w:line="240" w:lineRule="auto"/>
        <w:ind w:left="720"/>
        <w:rPr>
          <w:rFonts w:eastAsia="Times New Roman" w:cstheme="minorHAnsi"/>
          <w:lang w:val="en"/>
        </w:rPr>
      </w:pPr>
      <w:r w:rsidRPr="00B014CC">
        <w:rPr>
          <w:rFonts w:eastAsia="Times New Roman" w:cstheme="minorHAnsi"/>
          <w:lang w:val="en"/>
        </w:rPr>
        <w:t xml:space="preserve">These templates </w:t>
      </w:r>
      <w:r w:rsidR="00267F15" w:rsidRPr="00B014CC">
        <w:rPr>
          <w:rFonts w:eastAsia="Times New Roman" w:cstheme="minorHAnsi"/>
          <w:lang w:val="en"/>
        </w:rPr>
        <w:t>are available</w:t>
      </w:r>
      <w:r w:rsidRPr="00B014CC">
        <w:rPr>
          <w:rFonts w:eastAsia="Times New Roman" w:cstheme="minorHAnsi"/>
          <w:lang w:val="en"/>
        </w:rPr>
        <w:t xml:space="preserve"> on the Members-Only Site</w:t>
      </w:r>
      <w:r w:rsidR="00267F15" w:rsidRPr="00B014CC">
        <w:rPr>
          <w:rFonts w:eastAsia="Times New Roman" w:cstheme="minorHAnsi"/>
          <w:lang w:val="en"/>
        </w:rPr>
        <w:t>’s Engagement Letter Resource Center</w:t>
      </w:r>
      <w:r w:rsidRPr="00B014CC">
        <w:rPr>
          <w:rFonts w:eastAsia="Times New Roman" w:cstheme="minorHAnsi"/>
          <w:lang w:val="en"/>
        </w:rPr>
        <w:t>.</w:t>
      </w:r>
    </w:p>
    <w:p w14:paraId="385CD419" w14:textId="77777777" w:rsidR="00E04B22" w:rsidRPr="003835A4" w:rsidRDefault="00E04B22" w:rsidP="00B014CC">
      <w:pPr>
        <w:shd w:val="clear" w:color="auto" w:fill="FFFFFF"/>
        <w:spacing w:after="0" w:line="240" w:lineRule="auto"/>
        <w:ind w:left="720"/>
        <w:rPr>
          <w:rFonts w:cstheme="minorHAnsi"/>
          <w:color w:val="000000"/>
        </w:rPr>
      </w:pPr>
    </w:p>
    <w:p w14:paraId="2A1B92F8" w14:textId="281E82F0" w:rsidR="008E7705" w:rsidRPr="006E7207" w:rsidRDefault="008E7705" w:rsidP="00F969BC">
      <w:pPr>
        <w:shd w:val="clear" w:color="auto" w:fill="FFFFFF"/>
        <w:rPr>
          <w:rFonts w:cstheme="minorHAnsi"/>
          <w:b/>
          <w:bCs/>
          <w:i/>
          <w:iCs/>
        </w:rPr>
      </w:pPr>
      <w:r w:rsidRPr="006E7207">
        <w:rPr>
          <w:rFonts w:cstheme="minorHAnsi"/>
          <w:b/>
          <w:bCs/>
        </w:rPr>
        <w:t xml:space="preserve">Q. From a </w:t>
      </w:r>
      <w:r w:rsidR="00CD4108" w:rsidRPr="006E7207">
        <w:rPr>
          <w:rFonts w:cstheme="minorHAnsi"/>
          <w:b/>
          <w:bCs/>
        </w:rPr>
        <w:t>cyber</w:t>
      </w:r>
      <w:r w:rsidRPr="006E7207">
        <w:rPr>
          <w:rFonts w:cstheme="minorHAnsi"/>
          <w:b/>
          <w:bCs/>
        </w:rPr>
        <w:t xml:space="preserve">security and data privacy perspective, what are the risk management concerns associated with firms collecting and storing beneficial ownership information </w:t>
      </w:r>
      <w:r w:rsidR="00D237F5" w:rsidRPr="006E7207">
        <w:rPr>
          <w:rFonts w:cstheme="minorHAnsi"/>
          <w:b/>
          <w:bCs/>
        </w:rPr>
        <w:t xml:space="preserve">received from clients </w:t>
      </w:r>
      <w:r w:rsidR="00F969BC">
        <w:rPr>
          <w:rFonts w:cstheme="minorHAnsi"/>
          <w:b/>
          <w:bCs/>
        </w:rPr>
        <w:t xml:space="preserve">that is deemed </w:t>
      </w:r>
      <w:r w:rsidR="0058143D">
        <w:rPr>
          <w:rFonts w:cstheme="minorHAnsi"/>
          <w:b/>
          <w:bCs/>
        </w:rPr>
        <w:t>necessary</w:t>
      </w:r>
      <w:r w:rsidRPr="006E7207">
        <w:rPr>
          <w:rFonts w:cstheme="minorHAnsi"/>
          <w:b/>
          <w:bCs/>
        </w:rPr>
        <w:t xml:space="preserve"> </w:t>
      </w:r>
      <w:r w:rsidR="0058143D">
        <w:rPr>
          <w:rFonts w:cstheme="minorHAnsi"/>
          <w:b/>
          <w:bCs/>
        </w:rPr>
        <w:t>for</w:t>
      </w:r>
      <w:r w:rsidR="0058143D" w:rsidRPr="006E7207">
        <w:rPr>
          <w:rFonts w:cstheme="minorHAnsi"/>
          <w:b/>
          <w:bCs/>
        </w:rPr>
        <w:t xml:space="preserve"> </w:t>
      </w:r>
      <w:r w:rsidRPr="006E7207">
        <w:rPr>
          <w:rFonts w:cstheme="minorHAnsi"/>
          <w:b/>
          <w:bCs/>
        </w:rPr>
        <w:t>report</w:t>
      </w:r>
      <w:r w:rsidR="0058143D">
        <w:rPr>
          <w:rFonts w:cstheme="minorHAnsi"/>
          <w:b/>
          <w:bCs/>
        </w:rPr>
        <w:t>ing</w:t>
      </w:r>
      <w:r w:rsidRPr="006E7207">
        <w:rPr>
          <w:rFonts w:cstheme="minorHAnsi"/>
          <w:b/>
          <w:bCs/>
        </w:rPr>
        <w:t xml:space="preserve"> to FinCEN?</w:t>
      </w:r>
    </w:p>
    <w:p w14:paraId="546BE2E0" w14:textId="30B437BF" w:rsidR="00F969BC" w:rsidRDefault="008E7705" w:rsidP="0065696F">
      <w:pPr>
        <w:shd w:val="clear" w:color="auto" w:fill="FFFFFF"/>
        <w:ind w:left="720"/>
        <w:rPr>
          <w:rFonts w:cstheme="minorHAnsi"/>
        </w:rPr>
      </w:pPr>
      <w:r w:rsidRPr="006E7207">
        <w:rPr>
          <w:rFonts w:cstheme="minorHAnsi"/>
          <w:b/>
          <w:bCs/>
        </w:rPr>
        <w:t>A.</w:t>
      </w:r>
      <w:r w:rsidRPr="006E7207">
        <w:rPr>
          <w:rFonts w:cstheme="minorHAnsi"/>
        </w:rPr>
        <w:t xml:space="preserve"> </w:t>
      </w:r>
      <w:r w:rsidR="00CD4108" w:rsidRPr="006E7207">
        <w:rPr>
          <w:rFonts w:cstheme="minorHAnsi"/>
        </w:rPr>
        <w:t>Cyber</w:t>
      </w:r>
      <w:r w:rsidR="0058143D">
        <w:rPr>
          <w:rFonts w:cstheme="minorHAnsi"/>
        </w:rPr>
        <w:t>-</w:t>
      </w:r>
      <w:r w:rsidR="00CD4108" w:rsidRPr="006E7207">
        <w:rPr>
          <w:rFonts w:cstheme="minorHAnsi"/>
        </w:rPr>
        <w:t xml:space="preserve">related exposures are a concern, as </w:t>
      </w:r>
      <w:r w:rsidR="00D237F5" w:rsidRPr="006E7207">
        <w:rPr>
          <w:rFonts w:cstheme="minorHAnsi"/>
        </w:rPr>
        <w:t xml:space="preserve">CPA firms are already </w:t>
      </w:r>
      <w:r w:rsidR="006F518C" w:rsidRPr="006E7207">
        <w:rPr>
          <w:rFonts w:cstheme="minorHAnsi"/>
        </w:rPr>
        <w:t xml:space="preserve">considered </w:t>
      </w:r>
      <w:r w:rsidR="00D237F5" w:rsidRPr="006E7207">
        <w:rPr>
          <w:rFonts w:cstheme="minorHAnsi"/>
        </w:rPr>
        <w:t xml:space="preserve">a high-risk target for cyber criminals because of the abundance of client data found on firms’ computers. As CPA firms consider offering CTA-related services, </w:t>
      </w:r>
      <w:r w:rsidR="003931D3" w:rsidRPr="006E7207">
        <w:rPr>
          <w:rFonts w:cstheme="minorHAnsi"/>
        </w:rPr>
        <w:t xml:space="preserve">firms </w:t>
      </w:r>
      <w:r w:rsidR="003931D3" w:rsidRPr="006E7207">
        <w:rPr>
          <w:rFonts w:cstheme="minorHAnsi"/>
          <w:shd w:val="clear" w:color="auto" w:fill="FFFFFF"/>
        </w:rPr>
        <w:t xml:space="preserve">need to ensure they </w:t>
      </w:r>
      <w:r w:rsidR="006F62F7">
        <w:rPr>
          <w:rFonts w:cstheme="minorHAnsi"/>
          <w:shd w:val="clear" w:color="auto" w:fill="FFFFFF"/>
        </w:rPr>
        <w:t>maintain</w:t>
      </w:r>
      <w:r w:rsidR="003931D3" w:rsidRPr="006E7207">
        <w:rPr>
          <w:rFonts w:cstheme="minorHAnsi"/>
          <w:shd w:val="clear" w:color="auto" w:fill="FFFFFF"/>
        </w:rPr>
        <w:t xml:space="preserve"> a robust cybersecurity strategy that is both people-driven and integrated with technology to </w:t>
      </w:r>
      <w:r w:rsidR="003931D3" w:rsidRPr="006E7207">
        <w:rPr>
          <w:rFonts w:cstheme="minorHAnsi"/>
        </w:rPr>
        <w:t>reduce the risk of a cybersecurity incident</w:t>
      </w:r>
      <w:r w:rsidR="006E7207" w:rsidRPr="006E7207">
        <w:rPr>
          <w:rFonts w:cstheme="minorHAnsi"/>
        </w:rPr>
        <w:t xml:space="preserve"> as well as</w:t>
      </w:r>
      <w:r w:rsidR="006E7207">
        <w:rPr>
          <w:rFonts w:cstheme="minorHAnsi"/>
        </w:rPr>
        <w:t xml:space="preserve"> </w:t>
      </w:r>
      <w:r w:rsidR="006E7207" w:rsidRPr="006E7207">
        <w:rPr>
          <w:rFonts w:cstheme="minorHAnsi"/>
        </w:rPr>
        <w:t xml:space="preserve">ensure that the firm </w:t>
      </w:r>
      <w:r w:rsidR="004D05C7">
        <w:rPr>
          <w:rFonts w:cstheme="minorHAnsi"/>
        </w:rPr>
        <w:t>remains</w:t>
      </w:r>
      <w:r w:rsidR="006E7207" w:rsidRPr="006E7207">
        <w:rPr>
          <w:rFonts w:cstheme="minorHAnsi"/>
        </w:rPr>
        <w:t xml:space="preserve"> compliant with all applica</w:t>
      </w:r>
      <w:r w:rsidR="00B00A10">
        <w:rPr>
          <w:rFonts w:cstheme="minorHAnsi"/>
        </w:rPr>
        <w:t>ble</w:t>
      </w:r>
      <w:r w:rsidR="006E7207" w:rsidRPr="006E7207">
        <w:rPr>
          <w:rFonts w:cstheme="minorHAnsi"/>
        </w:rPr>
        <w:t xml:space="preserve"> data security and privacy</w:t>
      </w:r>
      <w:r w:rsidR="006E7207">
        <w:rPr>
          <w:rFonts w:cstheme="minorHAnsi"/>
        </w:rPr>
        <w:t xml:space="preserve"> protection</w:t>
      </w:r>
      <w:r w:rsidR="006E7207" w:rsidRPr="006E7207">
        <w:rPr>
          <w:rFonts w:cstheme="minorHAnsi"/>
        </w:rPr>
        <w:t xml:space="preserve"> laws</w:t>
      </w:r>
      <w:r w:rsidR="003931D3" w:rsidRPr="006E7207">
        <w:rPr>
          <w:rFonts w:cstheme="minorHAnsi"/>
        </w:rPr>
        <w:t>. Given the significant amount of additional personally identifiable information (“PII”) on each beneficial owner that will need to be received by the firm, firms should consider revisiting and updating</w:t>
      </w:r>
      <w:r w:rsidR="00E07988">
        <w:rPr>
          <w:rFonts w:cstheme="minorHAnsi"/>
        </w:rPr>
        <w:t>,</w:t>
      </w:r>
      <w:r w:rsidR="003931D3" w:rsidRPr="006E7207">
        <w:rPr>
          <w:rFonts w:cstheme="minorHAnsi"/>
        </w:rPr>
        <w:t xml:space="preserve"> as appropriate, their Written Information Security Plan (“WISP”)</w:t>
      </w:r>
      <w:r w:rsidR="006F62F7">
        <w:rPr>
          <w:rFonts w:cstheme="minorHAnsi"/>
        </w:rPr>
        <w:t xml:space="preserve"> and if applicable, Privacy Policy</w:t>
      </w:r>
      <w:r w:rsidR="003931D3" w:rsidRPr="006E7207">
        <w:rPr>
          <w:rFonts w:cstheme="minorHAnsi"/>
        </w:rPr>
        <w:t>.</w:t>
      </w:r>
      <w:r w:rsidR="00F969BC">
        <w:rPr>
          <w:rFonts w:cstheme="minorHAnsi"/>
        </w:rPr>
        <w:t xml:space="preserve"> </w:t>
      </w:r>
    </w:p>
    <w:p w14:paraId="2A8F10A1" w14:textId="77777777" w:rsidR="00B014CC" w:rsidRPr="00D57778" w:rsidRDefault="0058143D" w:rsidP="00B014CC">
      <w:pPr>
        <w:shd w:val="clear" w:color="auto" w:fill="FFFFFF"/>
        <w:spacing w:after="0" w:line="240" w:lineRule="auto"/>
        <w:ind w:left="720"/>
        <w:outlineLvl w:val="1"/>
        <w:rPr>
          <w:rFonts w:cstheme="minorHAnsi"/>
        </w:rPr>
      </w:pPr>
      <w:r w:rsidRPr="00C77AF5">
        <w:rPr>
          <w:rFonts w:cstheme="minorHAnsi"/>
        </w:rPr>
        <w:lastRenderedPageBreak/>
        <w:t xml:space="preserve">If such services are </w:t>
      </w:r>
      <w:r w:rsidR="002960C0" w:rsidRPr="00C77AF5">
        <w:rPr>
          <w:rFonts w:cstheme="minorHAnsi"/>
        </w:rPr>
        <w:t xml:space="preserve">to be </w:t>
      </w:r>
      <w:r w:rsidRPr="00C77AF5">
        <w:rPr>
          <w:rFonts w:cstheme="minorHAnsi"/>
        </w:rPr>
        <w:t xml:space="preserve">performed for attest clients, CPAs </w:t>
      </w:r>
      <w:r w:rsidR="002960C0" w:rsidRPr="00C77AF5">
        <w:rPr>
          <w:rFonts w:cstheme="minorHAnsi"/>
        </w:rPr>
        <w:t>must</w:t>
      </w:r>
      <w:r w:rsidRPr="00C77AF5">
        <w:rPr>
          <w:rFonts w:cstheme="minorHAnsi"/>
        </w:rPr>
        <w:t xml:space="preserve"> take precautionary steps to </w:t>
      </w:r>
      <w:r w:rsidR="002960C0" w:rsidRPr="00C77AF5">
        <w:rPr>
          <w:rFonts w:cstheme="minorHAnsi"/>
        </w:rPr>
        <w:t xml:space="preserve">avoid violating </w:t>
      </w:r>
      <w:r w:rsidRPr="00C77AF5">
        <w:rPr>
          <w:rFonts w:cstheme="minorHAnsi"/>
        </w:rPr>
        <w:t xml:space="preserve">the hosting interpretation </w:t>
      </w:r>
      <w:r w:rsidR="002960C0" w:rsidRPr="00C77AF5">
        <w:rPr>
          <w:rFonts w:cstheme="minorHAnsi"/>
        </w:rPr>
        <w:t xml:space="preserve">and </w:t>
      </w:r>
      <w:r w:rsidRPr="00C77AF5">
        <w:rPr>
          <w:rFonts w:cstheme="minorHAnsi"/>
        </w:rPr>
        <w:t>inadvertently impairing their firm’s independen</w:t>
      </w:r>
      <w:r w:rsidR="002960C0" w:rsidRPr="00C77AF5">
        <w:rPr>
          <w:rFonts w:cstheme="minorHAnsi"/>
        </w:rPr>
        <w:t>ce. CAMICO recommends CPAs serving attest clients with CTA-related services include</w:t>
      </w:r>
      <w:r w:rsidR="004F16D7" w:rsidRPr="00C77AF5">
        <w:rPr>
          <w:rFonts w:cstheme="minorHAnsi"/>
        </w:rPr>
        <w:t xml:space="preserve"> record retention</w:t>
      </w:r>
      <w:r w:rsidR="002960C0" w:rsidRPr="00C77AF5">
        <w:rPr>
          <w:rFonts w:cstheme="minorHAnsi"/>
        </w:rPr>
        <w:t xml:space="preserve"> </w:t>
      </w:r>
      <w:r w:rsidR="004F16D7" w:rsidRPr="00C77AF5">
        <w:rPr>
          <w:rFonts w:cstheme="minorHAnsi"/>
        </w:rPr>
        <w:t>language</w:t>
      </w:r>
      <w:r w:rsidR="002960C0" w:rsidRPr="00C77AF5">
        <w:rPr>
          <w:rFonts w:cstheme="minorHAnsi"/>
        </w:rPr>
        <w:t xml:space="preserve"> in their engagement </w:t>
      </w:r>
      <w:r w:rsidR="004F16D7" w:rsidRPr="00C77AF5">
        <w:rPr>
          <w:rFonts w:cstheme="minorHAnsi"/>
        </w:rPr>
        <w:t xml:space="preserve">letters </w:t>
      </w:r>
      <w:r w:rsidR="00F969BC" w:rsidRPr="00C77AF5">
        <w:rPr>
          <w:rFonts w:cstheme="minorHAnsi"/>
        </w:rPr>
        <w:t xml:space="preserve">to clarify that the client has </w:t>
      </w:r>
      <w:r w:rsidR="00F969BC" w:rsidRPr="00C77AF5">
        <w:rPr>
          <w:szCs w:val="24"/>
        </w:rPr>
        <w:t>the</w:t>
      </w:r>
      <w:r w:rsidR="002960C0" w:rsidRPr="00C77AF5">
        <w:rPr>
          <w:szCs w:val="24"/>
        </w:rPr>
        <w:t xml:space="preserve"> sole responsibility for ensuring </w:t>
      </w:r>
      <w:r w:rsidR="00F969BC" w:rsidRPr="00C77AF5">
        <w:rPr>
          <w:szCs w:val="24"/>
        </w:rPr>
        <w:t>they retain</w:t>
      </w:r>
      <w:r w:rsidR="002960C0" w:rsidRPr="00C77AF5">
        <w:rPr>
          <w:szCs w:val="24"/>
        </w:rPr>
        <w:t xml:space="preserve"> and maintain in </w:t>
      </w:r>
      <w:r w:rsidR="00F969BC" w:rsidRPr="00C77AF5">
        <w:rPr>
          <w:szCs w:val="24"/>
        </w:rPr>
        <w:t xml:space="preserve">their </w:t>
      </w:r>
      <w:r w:rsidR="002960C0" w:rsidRPr="00C77AF5">
        <w:rPr>
          <w:szCs w:val="24"/>
        </w:rPr>
        <w:t xml:space="preserve">possession all </w:t>
      </w:r>
      <w:r w:rsidR="00F969BC" w:rsidRPr="00C77AF5">
        <w:rPr>
          <w:szCs w:val="24"/>
        </w:rPr>
        <w:t xml:space="preserve">their </w:t>
      </w:r>
      <w:r w:rsidR="002960C0" w:rsidRPr="00C77AF5">
        <w:rPr>
          <w:szCs w:val="24"/>
        </w:rPr>
        <w:t xml:space="preserve">financial and non-financial information, </w:t>
      </w:r>
      <w:r w:rsidR="00F969BC" w:rsidRPr="00C77AF5">
        <w:rPr>
          <w:szCs w:val="24"/>
        </w:rPr>
        <w:t>data,</w:t>
      </w:r>
      <w:r w:rsidR="002960C0" w:rsidRPr="00C77AF5">
        <w:rPr>
          <w:szCs w:val="24"/>
        </w:rPr>
        <w:t xml:space="preserve"> and records.</w:t>
      </w:r>
      <w:r w:rsidR="004F16D7" w:rsidRPr="00C77AF5">
        <w:rPr>
          <w:szCs w:val="24"/>
        </w:rPr>
        <w:t xml:space="preserve"> Refer to CAMICO’s </w:t>
      </w:r>
      <w:r w:rsidR="00701ECF" w:rsidRPr="00C77AF5">
        <w:rPr>
          <w:szCs w:val="24"/>
        </w:rPr>
        <w:t xml:space="preserve">engagement letter templates </w:t>
      </w:r>
      <w:r w:rsidR="00C77AF5" w:rsidRPr="00C77AF5">
        <w:rPr>
          <w:szCs w:val="24"/>
        </w:rPr>
        <w:t>for sample language.</w:t>
      </w:r>
      <w:r w:rsidR="00C77AF5">
        <w:rPr>
          <w:szCs w:val="24"/>
        </w:rPr>
        <w:t xml:space="preserve"> </w:t>
      </w:r>
    </w:p>
    <w:p w14:paraId="4D7DCA40" w14:textId="77777777" w:rsidR="00B014CC" w:rsidRDefault="00B014CC" w:rsidP="00B014CC">
      <w:pPr>
        <w:shd w:val="clear" w:color="auto" w:fill="FFFFFF"/>
        <w:spacing w:after="0" w:line="240" w:lineRule="auto"/>
        <w:outlineLvl w:val="1"/>
        <w:rPr>
          <w:rFonts w:cstheme="minorHAnsi"/>
          <w:b/>
          <w:bCs/>
        </w:rPr>
      </w:pPr>
    </w:p>
    <w:p w14:paraId="083FBC44" w14:textId="0470D13F" w:rsidR="00B05E73" w:rsidRDefault="00B05E73" w:rsidP="00E806A2">
      <w:pPr>
        <w:shd w:val="clear" w:color="auto" w:fill="FFFFFF"/>
        <w:rPr>
          <w:rFonts w:cstheme="minorHAnsi"/>
          <w:b/>
          <w:bCs/>
        </w:rPr>
      </w:pPr>
      <w:r w:rsidRPr="006F671C">
        <w:rPr>
          <w:rFonts w:cstheme="minorHAnsi"/>
          <w:b/>
          <w:bCs/>
        </w:rPr>
        <w:t xml:space="preserve">Q. </w:t>
      </w:r>
      <w:r>
        <w:rPr>
          <w:rFonts w:cstheme="minorHAnsi"/>
          <w:b/>
          <w:bCs/>
        </w:rPr>
        <w:t xml:space="preserve">What </w:t>
      </w:r>
      <w:r w:rsidR="00463A28">
        <w:rPr>
          <w:rFonts w:cstheme="minorHAnsi"/>
          <w:b/>
          <w:bCs/>
        </w:rPr>
        <w:t>risk management steps should I be taking now to prepare</w:t>
      </w:r>
      <w:r>
        <w:rPr>
          <w:rFonts w:cstheme="minorHAnsi"/>
          <w:b/>
          <w:bCs/>
        </w:rPr>
        <w:t xml:space="preserve">? </w:t>
      </w:r>
    </w:p>
    <w:p w14:paraId="5297F9FE" w14:textId="57F96BA5" w:rsidR="00B40DE7" w:rsidRPr="00E07988" w:rsidRDefault="00B40DE7" w:rsidP="005079AF">
      <w:pPr>
        <w:shd w:val="clear" w:color="auto" w:fill="FFFFFF"/>
        <w:ind w:left="720"/>
        <w:rPr>
          <w:rFonts w:cstheme="minorHAnsi"/>
          <w:color w:val="000000"/>
        </w:rPr>
      </w:pPr>
      <w:r>
        <w:rPr>
          <w:rFonts w:cstheme="minorHAnsi"/>
          <w:b/>
          <w:bCs/>
        </w:rPr>
        <w:t xml:space="preserve">A. </w:t>
      </w:r>
      <w:r w:rsidRPr="0059611A">
        <w:rPr>
          <w:rFonts w:cstheme="minorHAnsi"/>
        </w:rPr>
        <w:t>Consider the following steps:</w:t>
      </w:r>
    </w:p>
    <w:p w14:paraId="44CBA05D" w14:textId="1ADCF1C2" w:rsidR="006B4E89" w:rsidRPr="006D1744" w:rsidRDefault="00463A28" w:rsidP="00DF55DF">
      <w:pPr>
        <w:pStyle w:val="ListParagraph"/>
        <w:numPr>
          <w:ilvl w:val="0"/>
          <w:numId w:val="24"/>
        </w:numPr>
        <w:shd w:val="clear" w:color="auto" w:fill="FFFFFF"/>
        <w:rPr>
          <w:rFonts w:cstheme="minorHAnsi"/>
          <w:b/>
          <w:bCs/>
        </w:rPr>
      </w:pPr>
      <w:bookmarkStart w:id="2" w:name="_Hlk153817132"/>
      <w:r w:rsidRPr="006D1744">
        <w:rPr>
          <w:rFonts w:cstheme="minorHAnsi"/>
        </w:rPr>
        <w:t>F</w:t>
      </w:r>
      <w:r w:rsidR="006B4E89" w:rsidRPr="006D1744">
        <w:rPr>
          <w:rFonts w:cstheme="minorHAnsi"/>
        </w:rPr>
        <w:t>amiliarize yourself with the Corporate Transparency Act and the beneficial ownership reporting requirements</w:t>
      </w:r>
      <w:r w:rsidR="006D1744" w:rsidRPr="006D1744">
        <w:rPr>
          <w:rFonts w:cstheme="minorHAnsi"/>
        </w:rPr>
        <w:t>.</w:t>
      </w:r>
      <w:r w:rsidR="006B4E89" w:rsidRPr="006D1744">
        <w:rPr>
          <w:rFonts w:cstheme="minorHAnsi"/>
        </w:rPr>
        <w:t xml:space="preserve"> </w:t>
      </w:r>
      <w:r w:rsidR="00B04731" w:rsidRPr="006D1744">
        <w:rPr>
          <w:rFonts w:cstheme="minorHAnsi"/>
        </w:rPr>
        <w:t xml:space="preserve">As a starting point, if you have not already done so, </w:t>
      </w:r>
      <w:bookmarkStart w:id="3" w:name="_Hlk153814740"/>
      <w:r w:rsidR="00B04731" w:rsidRPr="006D1744">
        <w:rPr>
          <w:rFonts w:cstheme="minorHAnsi"/>
        </w:rPr>
        <w:t xml:space="preserve">review </w:t>
      </w:r>
      <w:r w:rsidR="007C7FE3" w:rsidRPr="006D1744">
        <w:t xml:space="preserve">CAMICO’s article published in </w:t>
      </w:r>
      <w:r w:rsidR="006D1744" w:rsidRPr="006D1744">
        <w:t>the</w:t>
      </w:r>
      <w:r w:rsidR="007C7FE3" w:rsidRPr="006D1744">
        <w:t xml:space="preserve"> July 2023 IMPACT </w:t>
      </w:r>
      <w:r w:rsidR="00C46B48">
        <w:t xml:space="preserve">123 </w:t>
      </w:r>
      <w:r w:rsidR="007C7FE3" w:rsidRPr="006D1744">
        <w:t>newsletter</w:t>
      </w:r>
      <w:r w:rsidR="00A72B03" w:rsidRPr="006D1744">
        <w:t xml:space="preserve"> titled </w:t>
      </w:r>
      <w:r w:rsidR="00A72B03" w:rsidRPr="00D27FA3">
        <w:rPr>
          <w:i/>
          <w:iCs/>
        </w:rPr>
        <w:t xml:space="preserve">Corporate Transparency Act/Beneficial Ownership Information Reporting </w:t>
      </w:r>
      <w:r w:rsidR="00E07988" w:rsidRPr="00D27FA3">
        <w:rPr>
          <w:rFonts w:cstheme="minorHAnsi"/>
          <w:i/>
          <w:iCs/>
        </w:rPr>
        <w:t>—</w:t>
      </w:r>
      <w:r w:rsidR="00A72B03" w:rsidRPr="00D27FA3">
        <w:rPr>
          <w:i/>
          <w:iCs/>
        </w:rPr>
        <w:t xml:space="preserve"> Risk Management Considerations for CPA Firms</w:t>
      </w:r>
      <w:r w:rsidR="006D1744" w:rsidRPr="00D27FA3">
        <w:rPr>
          <w:rFonts w:eastAsia="Times New Roman" w:cstheme="minorHAnsi"/>
          <w:lang w:val="en"/>
        </w:rPr>
        <w:t>,</w:t>
      </w:r>
      <w:r w:rsidR="006D1744" w:rsidRPr="006D1744">
        <w:rPr>
          <w:rFonts w:eastAsia="Times New Roman" w:cstheme="minorHAnsi"/>
          <w:lang w:val="en"/>
        </w:rPr>
        <w:t xml:space="preserve"> which</w:t>
      </w:r>
      <w:r w:rsidR="006D1744" w:rsidRPr="006D1744">
        <w:rPr>
          <w:rFonts w:cstheme="minorHAnsi"/>
        </w:rPr>
        <w:t xml:space="preserve"> can</w:t>
      </w:r>
      <w:r w:rsidR="000F2733">
        <w:rPr>
          <w:rFonts w:cstheme="minorHAnsi"/>
        </w:rPr>
        <w:t xml:space="preserve"> </w:t>
      </w:r>
      <w:r w:rsidR="006D1744" w:rsidRPr="006D1744">
        <w:rPr>
          <w:rFonts w:cstheme="minorHAnsi"/>
        </w:rPr>
        <w:t>be found on CAMICO’s Members-Only Site</w:t>
      </w:r>
      <w:r w:rsidR="00E07988">
        <w:rPr>
          <w:rFonts w:cstheme="minorHAnsi"/>
        </w:rPr>
        <w:t xml:space="preserve"> </w:t>
      </w:r>
      <w:r w:rsidR="00C75C5B">
        <w:rPr>
          <w:rFonts w:cstheme="minorHAnsi"/>
        </w:rPr>
        <w:t xml:space="preserve">in </w:t>
      </w:r>
      <w:r w:rsidR="00E07988">
        <w:rPr>
          <w:rFonts w:cstheme="minorHAnsi"/>
        </w:rPr>
        <w:t xml:space="preserve">the “IMPACT Newsletter” portlet </w:t>
      </w:r>
      <w:bookmarkEnd w:id="3"/>
      <w:r w:rsidR="00E07988">
        <w:rPr>
          <w:rFonts w:cstheme="minorHAnsi"/>
        </w:rPr>
        <w:t>at the top right of the home page</w:t>
      </w:r>
      <w:r w:rsidR="006D1744" w:rsidRPr="006D1744">
        <w:rPr>
          <w:rFonts w:cstheme="minorHAnsi"/>
        </w:rPr>
        <w:t>.</w:t>
      </w:r>
      <w:r w:rsidR="00A72B03" w:rsidRPr="006D1744">
        <w:t xml:space="preserve"> </w:t>
      </w:r>
      <w:r w:rsidR="006D1744" w:rsidRPr="006D1744">
        <w:t xml:space="preserve">In addition, </w:t>
      </w:r>
      <w:r w:rsidR="006D1744" w:rsidRPr="006D1744">
        <w:rPr>
          <w:rFonts w:cstheme="minorHAnsi"/>
        </w:rPr>
        <w:t>stay current with any further guidance promulgated by FinCEN.</w:t>
      </w:r>
      <w:r w:rsidR="007A615D">
        <w:rPr>
          <w:rFonts w:cstheme="minorHAnsi"/>
        </w:rPr>
        <w:t xml:space="preserve"> (R</w:t>
      </w:r>
      <w:r w:rsidR="006B4E89" w:rsidRPr="006D1744">
        <w:rPr>
          <w:rFonts w:cstheme="minorHAnsi"/>
        </w:rPr>
        <w:t xml:space="preserve">efer to </w:t>
      </w:r>
      <w:r w:rsidR="006B4E89" w:rsidRPr="006D1744">
        <w:rPr>
          <w:rFonts w:cstheme="minorHAnsi"/>
          <w:b/>
          <w:bCs/>
          <w:i/>
          <w:iCs/>
        </w:rPr>
        <w:t>Additional Resources</w:t>
      </w:r>
      <w:r w:rsidR="006B4E89" w:rsidRPr="006D1744">
        <w:rPr>
          <w:rFonts w:cstheme="minorHAnsi"/>
        </w:rPr>
        <w:t xml:space="preserve"> section below.)</w:t>
      </w:r>
    </w:p>
    <w:p w14:paraId="00446071" w14:textId="77777777" w:rsidR="00463A28" w:rsidRPr="006D1744" w:rsidRDefault="00463A28" w:rsidP="00B41478">
      <w:pPr>
        <w:pStyle w:val="ListParagraph"/>
        <w:ind w:left="1080"/>
        <w:rPr>
          <w:rFonts w:cstheme="minorHAnsi"/>
          <w:b/>
          <w:bCs/>
        </w:rPr>
      </w:pPr>
    </w:p>
    <w:p w14:paraId="51BECF18" w14:textId="6623DA42" w:rsidR="00463A28" w:rsidRDefault="00463A28" w:rsidP="00B41478">
      <w:pPr>
        <w:pStyle w:val="ListParagraph"/>
        <w:numPr>
          <w:ilvl w:val="0"/>
          <w:numId w:val="24"/>
        </w:numPr>
        <w:shd w:val="clear" w:color="auto" w:fill="FFFFFF"/>
        <w:rPr>
          <w:rFonts w:cstheme="minorHAnsi"/>
          <w:color w:val="000000"/>
        </w:rPr>
      </w:pPr>
      <w:r w:rsidRPr="006D1744">
        <w:rPr>
          <w:rFonts w:eastAsia="Times New Roman" w:cstheme="minorHAnsi"/>
          <w:bCs/>
          <w:lang w:val="en"/>
        </w:rPr>
        <w:t>Inform and advise</w:t>
      </w:r>
      <w:r w:rsidRPr="006D1744">
        <w:rPr>
          <w:rFonts w:eastAsia="Times New Roman" w:cstheme="minorHAnsi"/>
          <w:b/>
          <w:lang w:val="en"/>
        </w:rPr>
        <w:t xml:space="preserve"> </w:t>
      </w:r>
      <w:r w:rsidRPr="006D1744">
        <w:rPr>
          <w:rFonts w:eastAsia="Times New Roman" w:cstheme="minorHAnsi"/>
          <w:lang w:val="en"/>
        </w:rPr>
        <w:t xml:space="preserve">your clients </w:t>
      </w:r>
      <w:r w:rsidRPr="006D1744">
        <w:rPr>
          <w:rFonts w:eastAsia="Times New Roman" w:cstheme="minorHAnsi"/>
          <w:b/>
          <w:bCs/>
          <w:lang w:val="en"/>
        </w:rPr>
        <w:t>in writing</w:t>
      </w:r>
      <w:r w:rsidRPr="006D1744">
        <w:rPr>
          <w:rFonts w:eastAsia="Times New Roman" w:cstheme="minorHAnsi"/>
          <w:lang w:val="en"/>
        </w:rPr>
        <w:t xml:space="preserve"> regarding the new beneficial ownership reporting requirements under the CTA. </w:t>
      </w:r>
      <w:bookmarkStart w:id="4" w:name="_Hlk152767073"/>
      <w:r w:rsidRPr="006D1744">
        <w:rPr>
          <w:rFonts w:eastAsia="Times New Roman" w:cstheme="minorHAnsi"/>
          <w:lang w:val="en"/>
        </w:rPr>
        <w:t xml:space="preserve">CAMICO offers </w:t>
      </w:r>
      <w:r w:rsidRPr="00D27FA3">
        <w:rPr>
          <w:rFonts w:eastAsia="Times New Roman" w:cstheme="minorHAnsi"/>
          <w:lang w:val="en"/>
        </w:rPr>
        <w:t xml:space="preserve">a </w:t>
      </w:r>
      <w:r w:rsidR="001C0F4E" w:rsidRPr="0028608A">
        <w:rPr>
          <w:rFonts w:eastAsia="Times New Roman" w:cstheme="minorHAnsi"/>
          <w:i/>
          <w:iCs/>
          <w:lang w:val="en"/>
        </w:rPr>
        <w:t xml:space="preserve">Client Notification Letter </w:t>
      </w:r>
      <w:r w:rsidR="00D27FA3" w:rsidRPr="0028608A">
        <w:rPr>
          <w:rFonts w:cstheme="minorHAnsi"/>
          <w:i/>
          <w:iCs/>
        </w:rPr>
        <w:t>—</w:t>
      </w:r>
      <w:r w:rsidR="001C0F4E" w:rsidRPr="0028608A">
        <w:rPr>
          <w:rFonts w:eastAsia="Times New Roman" w:cstheme="minorHAnsi"/>
          <w:i/>
          <w:iCs/>
          <w:lang w:val="en"/>
        </w:rPr>
        <w:t xml:space="preserve"> Corporate Transparency Act </w:t>
      </w:r>
      <w:r w:rsidR="00D27FA3" w:rsidRPr="0028608A">
        <w:rPr>
          <w:rFonts w:cstheme="minorHAnsi"/>
          <w:i/>
          <w:iCs/>
        </w:rPr>
        <w:t>—</w:t>
      </w:r>
      <w:r w:rsidR="001C0F4E" w:rsidRPr="0028608A">
        <w:rPr>
          <w:rFonts w:eastAsia="Times New Roman" w:cstheme="minorHAnsi"/>
          <w:i/>
          <w:iCs/>
          <w:lang w:val="en"/>
        </w:rPr>
        <w:t xml:space="preserve"> Beneficial Ownership Info Reporting</w:t>
      </w:r>
      <w:r w:rsidR="001C0F4E" w:rsidRPr="00D27FA3">
        <w:rPr>
          <w:rFonts w:eastAsia="Times New Roman" w:cstheme="minorHAnsi"/>
          <w:lang w:val="en"/>
        </w:rPr>
        <w:t xml:space="preserve"> template </w:t>
      </w:r>
      <w:r w:rsidRPr="00D27FA3">
        <w:rPr>
          <w:rFonts w:eastAsia="Times New Roman" w:cstheme="minorHAnsi"/>
          <w:lang w:val="en"/>
        </w:rPr>
        <w:t>for</w:t>
      </w:r>
      <w:r w:rsidRPr="006D1744">
        <w:rPr>
          <w:rFonts w:eastAsia="Times New Roman" w:cstheme="minorHAnsi"/>
          <w:lang w:val="en"/>
        </w:rPr>
        <w:t xml:space="preserve"> this purpose, which</w:t>
      </w:r>
      <w:r w:rsidRPr="006D1744">
        <w:rPr>
          <w:rFonts w:cstheme="minorHAnsi"/>
        </w:rPr>
        <w:t xml:space="preserve"> can</w:t>
      </w:r>
      <w:r w:rsidR="000F2733">
        <w:rPr>
          <w:rFonts w:cstheme="minorHAnsi"/>
        </w:rPr>
        <w:t xml:space="preserve"> </w:t>
      </w:r>
      <w:r w:rsidRPr="006D1744">
        <w:rPr>
          <w:rFonts w:cstheme="minorHAnsi"/>
        </w:rPr>
        <w:t xml:space="preserve">be found </w:t>
      </w:r>
      <w:r w:rsidRPr="00463A28">
        <w:rPr>
          <w:rFonts w:cstheme="minorHAnsi"/>
        </w:rPr>
        <w:t>on CAMICO</w:t>
      </w:r>
      <w:r w:rsidR="0058143D">
        <w:rPr>
          <w:rFonts w:cstheme="minorHAnsi"/>
        </w:rPr>
        <w:t>’s</w:t>
      </w:r>
      <w:r w:rsidRPr="00463A28">
        <w:rPr>
          <w:rFonts w:cstheme="minorHAnsi"/>
        </w:rPr>
        <w:t xml:space="preserve"> Members-Only Site</w:t>
      </w:r>
      <w:r w:rsidR="00E07988">
        <w:rPr>
          <w:rFonts w:cstheme="minorHAnsi"/>
        </w:rPr>
        <w:t xml:space="preserve"> </w:t>
      </w:r>
      <w:r w:rsidR="00C75C5B">
        <w:rPr>
          <w:rFonts w:cstheme="minorHAnsi"/>
        </w:rPr>
        <w:t>in</w:t>
      </w:r>
      <w:r w:rsidR="00167C7D">
        <w:rPr>
          <w:rFonts w:cstheme="minorHAnsi"/>
        </w:rPr>
        <w:t xml:space="preserve"> the “IMPACT Newsletter” portlet at the top right of the home page (IMPACT 123)</w:t>
      </w:r>
      <w:r w:rsidRPr="00463A28">
        <w:rPr>
          <w:rFonts w:cstheme="minorHAnsi"/>
        </w:rPr>
        <w:t>.</w:t>
      </w:r>
      <w:bookmarkEnd w:id="2"/>
      <w:bookmarkEnd w:id="4"/>
    </w:p>
    <w:p w14:paraId="201B9F44" w14:textId="77777777" w:rsidR="00463A28" w:rsidRPr="00463A28" w:rsidRDefault="00463A28" w:rsidP="00B41478">
      <w:pPr>
        <w:pStyle w:val="ListParagraph"/>
        <w:ind w:left="1080"/>
        <w:rPr>
          <w:rFonts w:cstheme="minorHAnsi"/>
          <w:color w:val="000000"/>
        </w:rPr>
      </w:pPr>
    </w:p>
    <w:p w14:paraId="7AF2376A" w14:textId="3E3B59C9" w:rsidR="00893721" w:rsidRPr="00893721" w:rsidRDefault="00463A28" w:rsidP="00B41478">
      <w:pPr>
        <w:pStyle w:val="ListParagraph"/>
        <w:numPr>
          <w:ilvl w:val="0"/>
          <w:numId w:val="24"/>
        </w:numPr>
        <w:shd w:val="clear" w:color="auto" w:fill="FFFFFF"/>
        <w:rPr>
          <w:rFonts w:cstheme="minorHAnsi"/>
          <w:color w:val="000000"/>
        </w:rPr>
      </w:pPr>
      <w:r w:rsidRPr="00893721">
        <w:rPr>
          <w:rFonts w:cstheme="minorHAnsi"/>
          <w:color w:val="000000"/>
        </w:rPr>
        <w:t>D</w:t>
      </w:r>
      <w:r w:rsidR="006B4E89" w:rsidRPr="00893721">
        <w:rPr>
          <w:rFonts w:cstheme="minorHAnsi"/>
          <w:color w:val="000000"/>
        </w:rPr>
        <w:t xml:space="preserve">etermine your firm’s willingness, </w:t>
      </w:r>
      <w:r w:rsidR="00893721" w:rsidRPr="00893721">
        <w:rPr>
          <w:rFonts w:cstheme="minorHAnsi"/>
          <w:color w:val="000000"/>
        </w:rPr>
        <w:t>knowledge</w:t>
      </w:r>
      <w:r w:rsidR="006B4E89" w:rsidRPr="00893721">
        <w:rPr>
          <w:rFonts w:cstheme="minorHAnsi"/>
          <w:color w:val="000000"/>
        </w:rPr>
        <w:t xml:space="preserve">, </w:t>
      </w:r>
      <w:r w:rsidR="00893721" w:rsidRPr="00893721">
        <w:rPr>
          <w:rFonts w:cstheme="minorHAnsi"/>
          <w:color w:val="000000"/>
        </w:rPr>
        <w:t xml:space="preserve">expertise, </w:t>
      </w:r>
      <w:r w:rsidR="006B4E89" w:rsidRPr="00893721">
        <w:rPr>
          <w:rFonts w:cstheme="minorHAnsi"/>
          <w:color w:val="000000"/>
        </w:rPr>
        <w:t>and ri</w:t>
      </w:r>
      <w:r w:rsidR="00B93C8D" w:rsidRPr="00893721">
        <w:rPr>
          <w:rFonts w:cstheme="minorHAnsi"/>
          <w:color w:val="000000"/>
        </w:rPr>
        <w:t xml:space="preserve">sk tolerance </w:t>
      </w:r>
      <w:r w:rsidRPr="00893721">
        <w:rPr>
          <w:rFonts w:cstheme="minorHAnsi"/>
          <w:color w:val="000000"/>
        </w:rPr>
        <w:t xml:space="preserve">to </w:t>
      </w:r>
      <w:r w:rsidR="006B4E89" w:rsidRPr="00893721">
        <w:rPr>
          <w:rFonts w:cstheme="minorHAnsi"/>
          <w:color w:val="000000"/>
        </w:rPr>
        <w:t xml:space="preserve">take on </w:t>
      </w:r>
      <w:r w:rsidRPr="00893721">
        <w:rPr>
          <w:rFonts w:cstheme="minorHAnsi"/>
          <w:color w:val="000000"/>
        </w:rPr>
        <w:t xml:space="preserve">CTA compliance </w:t>
      </w:r>
      <w:r w:rsidR="006B4E89" w:rsidRPr="00893721">
        <w:rPr>
          <w:rFonts w:cstheme="minorHAnsi"/>
          <w:color w:val="000000"/>
        </w:rPr>
        <w:t>work</w:t>
      </w:r>
      <w:r w:rsidR="00893721" w:rsidRPr="00893721">
        <w:rPr>
          <w:rFonts w:cstheme="minorHAnsi"/>
          <w:color w:val="000000"/>
        </w:rPr>
        <w:t xml:space="preserve"> and if you decide to do so, assess what service</w:t>
      </w:r>
      <w:r w:rsidR="002960C0">
        <w:rPr>
          <w:rFonts w:cstheme="minorHAnsi"/>
          <w:color w:val="000000"/>
        </w:rPr>
        <w:t>s</w:t>
      </w:r>
      <w:r w:rsidR="00893721" w:rsidRPr="00893721">
        <w:rPr>
          <w:rFonts w:cstheme="minorHAnsi"/>
          <w:color w:val="000000"/>
        </w:rPr>
        <w:t xml:space="preserve"> you are willing to offer</w:t>
      </w:r>
      <w:r w:rsidR="002960C0">
        <w:rPr>
          <w:rFonts w:cstheme="minorHAnsi"/>
          <w:color w:val="000000"/>
        </w:rPr>
        <w:t xml:space="preserve"> and how best to deliver those services</w:t>
      </w:r>
      <w:r w:rsidR="00893721" w:rsidRPr="00893721">
        <w:rPr>
          <w:rFonts w:cstheme="minorHAnsi"/>
          <w:color w:val="000000"/>
        </w:rPr>
        <w:t xml:space="preserve">. For example, some firms may decide </w:t>
      </w:r>
      <w:r w:rsidR="006E3A8A" w:rsidRPr="00893721">
        <w:rPr>
          <w:rFonts w:cstheme="minorHAnsi"/>
          <w:color w:val="000000"/>
        </w:rPr>
        <w:t>to</w:t>
      </w:r>
      <w:r w:rsidR="00EC3D3A" w:rsidRPr="00893721">
        <w:rPr>
          <w:rFonts w:cstheme="minorHAnsi"/>
          <w:color w:val="000000"/>
        </w:rPr>
        <w:t xml:space="preserve"> structure such engagements under the umbrella of </w:t>
      </w:r>
      <w:r w:rsidR="002960C0">
        <w:rPr>
          <w:rFonts w:cstheme="minorHAnsi"/>
          <w:color w:val="000000"/>
        </w:rPr>
        <w:t xml:space="preserve">qualified </w:t>
      </w:r>
      <w:r w:rsidR="00EC3D3A" w:rsidRPr="00893721">
        <w:rPr>
          <w:rFonts w:cstheme="minorHAnsi"/>
          <w:color w:val="000000"/>
        </w:rPr>
        <w:t>legal counsel to avoid any potential for UPL</w:t>
      </w:r>
      <w:r w:rsidR="00B968BF">
        <w:rPr>
          <w:rFonts w:cstheme="minorHAnsi"/>
          <w:color w:val="000000"/>
        </w:rPr>
        <w:t>-</w:t>
      </w:r>
      <w:r w:rsidR="00EC3D3A" w:rsidRPr="00893721">
        <w:rPr>
          <w:rFonts w:cstheme="minorHAnsi"/>
          <w:color w:val="000000"/>
        </w:rPr>
        <w:t>related allegations</w:t>
      </w:r>
      <w:r w:rsidR="00893721">
        <w:rPr>
          <w:rFonts w:cstheme="minorHAnsi"/>
          <w:color w:val="000000"/>
        </w:rPr>
        <w:t xml:space="preserve"> and limit the firm’s involvement to working under the direction and approval of the attorney</w:t>
      </w:r>
      <w:r w:rsidR="00F52A23">
        <w:rPr>
          <w:rFonts w:cstheme="minorHAnsi"/>
          <w:color w:val="000000"/>
        </w:rPr>
        <w:t xml:space="preserve">. </w:t>
      </w:r>
      <w:r w:rsidR="00164424">
        <w:rPr>
          <w:rFonts w:cstheme="minorHAnsi"/>
          <w:color w:val="000000"/>
        </w:rPr>
        <w:t>There is a broad spectrum of services from purely limited administrative-type services (filing the BOI report) to full</w:t>
      </w:r>
      <w:r w:rsidR="002960C0">
        <w:rPr>
          <w:rFonts w:cstheme="minorHAnsi"/>
          <w:color w:val="000000"/>
        </w:rPr>
        <w:t>-</w:t>
      </w:r>
      <w:r w:rsidR="00164424">
        <w:rPr>
          <w:rFonts w:cstheme="minorHAnsi"/>
          <w:color w:val="000000"/>
        </w:rPr>
        <w:t>scale advising with respect to assessing and i</w:t>
      </w:r>
      <w:r w:rsidR="00164424" w:rsidRPr="00AB71E8">
        <w:rPr>
          <w:rFonts w:cstheme="minorHAnsi"/>
        </w:rPr>
        <w:t>nterpret</w:t>
      </w:r>
      <w:r w:rsidR="00164424">
        <w:rPr>
          <w:rFonts w:cstheme="minorHAnsi"/>
        </w:rPr>
        <w:t>ing</w:t>
      </w:r>
      <w:r w:rsidR="00164424" w:rsidRPr="00AB71E8">
        <w:rPr>
          <w:rFonts w:cstheme="minorHAnsi"/>
        </w:rPr>
        <w:t xml:space="preserve"> facts</w:t>
      </w:r>
      <w:r w:rsidR="00164424">
        <w:rPr>
          <w:rFonts w:cstheme="minorHAnsi"/>
        </w:rPr>
        <w:t>,</w:t>
      </w:r>
      <w:r w:rsidR="00164424" w:rsidRPr="00AB71E8">
        <w:rPr>
          <w:rFonts w:cstheme="minorHAnsi"/>
        </w:rPr>
        <w:t xml:space="preserve"> circumstances</w:t>
      </w:r>
      <w:r w:rsidR="00164424">
        <w:rPr>
          <w:rFonts w:cstheme="minorHAnsi"/>
        </w:rPr>
        <w:t xml:space="preserve">, and </w:t>
      </w:r>
      <w:r w:rsidR="009122CB">
        <w:rPr>
          <w:rFonts w:cstheme="minorHAnsi"/>
        </w:rPr>
        <w:t xml:space="preserve">related </w:t>
      </w:r>
      <w:r w:rsidR="00164424">
        <w:rPr>
          <w:rFonts w:cstheme="minorHAnsi"/>
        </w:rPr>
        <w:t>documents</w:t>
      </w:r>
      <w:r w:rsidR="00164424" w:rsidRPr="00AB71E8">
        <w:rPr>
          <w:rFonts w:cstheme="minorHAnsi"/>
        </w:rPr>
        <w:t xml:space="preserve"> </w:t>
      </w:r>
      <w:r w:rsidR="00164424">
        <w:rPr>
          <w:rFonts w:cstheme="minorHAnsi"/>
        </w:rPr>
        <w:t xml:space="preserve">to determine </w:t>
      </w:r>
      <w:r w:rsidR="009122CB">
        <w:rPr>
          <w:rFonts w:cstheme="minorHAnsi"/>
        </w:rPr>
        <w:t>if an entity i</w:t>
      </w:r>
      <w:r w:rsidR="00164424">
        <w:rPr>
          <w:rFonts w:cstheme="minorHAnsi"/>
        </w:rPr>
        <w:t xml:space="preserve">s deemed to be a </w:t>
      </w:r>
      <w:r w:rsidR="00BA7BC4">
        <w:rPr>
          <w:rFonts w:cstheme="minorHAnsi"/>
        </w:rPr>
        <w:t xml:space="preserve">Reporting Company </w:t>
      </w:r>
      <w:r w:rsidR="00164424">
        <w:rPr>
          <w:rFonts w:cstheme="minorHAnsi"/>
        </w:rPr>
        <w:t xml:space="preserve">as well as identifying </w:t>
      </w:r>
      <w:r w:rsidR="009122CB">
        <w:rPr>
          <w:rFonts w:cstheme="minorHAnsi"/>
        </w:rPr>
        <w:t xml:space="preserve">who may rise to the level of a </w:t>
      </w:r>
      <w:r w:rsidR="00164424">
        <w:rPr>
          <w:rFonts w:cstheme="minorHAnsi"/>
        </w:rPr>
        <w:t>beneficial owner under the rules as promulgated.</w:t>
      </w:r>
      <w:r w:rsidR="008B3D6E">
        <w:rPr>
          <w:rFonts w:cstheme="minorHAnsi"/>
        </w:rPr>
        <w:t xml:space="preserve"> The scope and limits of any CTA-related services you deem appropriate to perform should be well documented </w:t>
      </w:r>
      <w:r w:rsidR="00736C1B">
        <w:rPr>
          <w:rFonts w:cstheme="minorHAnsi"/>
        </w:rPr>
        <w:t xml:space="preserve">and consistent with the client’s understanding and expectations. </w:t>
      </w:r>
    </w:p>
    <w:p w14:paraId="47FE3C4B" w14:textId="77777777" w:rsidR="00463A28" w:rsidRPr="00463A28" w:rsidRDefault="00463A28" w:rsidP="00B41478">
      <w:pPr>
        <w:pStyle w:val="ListParagraph"/>
        <w:ind w:left="1080"/>
        <w:rPr>
          <w:rFonts w:cstheme="minorHAnsi"/>
          <w:color w:val="000000"/>
        </w:rPr>
      </w:pPr>
    </w:p>
    <w:p w14:paraId="4F1E409E" w14:textId="777A80D7" w:rsidR="00DE5C0D" w:rsidRPr="00DE5C0D" w:rsidRDefault="00494C02" w:rsidP="00B41478">
      <w:pPr>
        <w:pStyle w:val="ListParagraph"/>
        <w:numPr>
          <w:ilvl w:val="0"/>
          <w:numId w:val="24"/>
        </w:numPr>
        <w:shd w:val="clear" w:color="auto" w:fill="FFFFFF"/>
        <w:rPr>
          <w:rFonts w:cstheme="minorHAnsi"/>
          <w:color w:val="000000"/>
        </w:rPr>
      </w:pPr>
      <w:r w:rsidRPr="002F6662">
        <w:rPr>
          <w:rFonts w:eastAsia="Times New Roman" w:cstheme="minorHAnsi"/>
          <w:bCs/>
          <w:lang w:val="en"/>
        </w:rPr>
        <w:t xml:space="preserve">Modify </w:t>
      </w:r>
      <w:r w:rsidR="00DE5C0D">
        <w:rPr>
          <w:rFonts w:eastAsia="Times New Roman" w:cstheme="minorHAnsi"/>
          <w:bCs/>
          <w:lang w:val="en"/>
        </w:rPr>
        <w:t xml:space="preserve">your traditional </w:t>
      </w:r>
      <w:r w:rsidR="006469EB" w:rsidRPr="002F6662">
        <w:rPr>
          <w:rFonts w:eastAsia="Times New Roman" w:cstheme="minorHAnsi"/>
          <w:bCs/>
          <w:lang w:val="en"/>
        </w:rPr>
        <w:t xml:space="preserve">tax and financial statement </w:t>
      </w:r>
      <w:r w:rsidRPr="002F6662">
        <w:rPr>
          <w:rFonts w:eastAsia="Times New Roman" w:cstheme="minorHAnsi"/>
          <w:bCs/>
          <w:lang w:val="en"/>
        </w:rPr>
        <w:t>engagement letters to include language</w:t>
      </w:r>
      <w:r w:rsidR="002F6662" w:rsidRPr="002F6662">
        <w:rPr>
          <w:rFonts w:eastAsia="Times New Roman" w:cstheme="minorHAnsi"/>
          <w:bCs/>
          <w:lang w:val="en"/>
        </w:rPr>
        <w:t xml:space="preserve"> </w:t>
      </w:r>
      <w:r w:rsidRPr="002F6662">
        <w:rPr>
          <w:rFonts w:eastAsia="Times New Roman" w:cstheme="minorHAnsi"/>
          <w:bCs/>
          <w:lang w:val="en"/>
        </w:rPr>
        <w:t xml:space="preserve">that specifically </w:t>
      </w:r>
      <w:r w:rsidRPr="002F6662">
        <w:rPr>
          <w:rFonts w:eastAsia="Times New Roman" w:cstheme="minorHAnsi"/>
          <w:b/>
          <w:lang w:val="en"/>
        </w:rPr>
        <w:t>disclaims</w:t>
      </w:r>
      <w:r w:rsidRPr="002F6662">
        <w:rPr>
          <w:rFonts w:eastAsia="Times New Roman" w:cstheme="minorHAnsi"/>
          <w:bCs/>
          <w:lang w:val="en"/>
        </w:rPr>
        <w:t xml:space="preserve"> the firm’s involvement in assisting clients with CTA compliance under the terms of that agreement</w:t>
      </w:r>
      <w:r w:rsidR="002F6662" w:rsidRPr="002F6662">
        <w:rPr>
          <w:rFonts w:eastAsia="Times New Roman" w:cstheme="minorHAnsi"/>
          <w:bCs/>
          <w:lang w:val="en"/>
        </w:rPr>
        <w:t>, as any such CTA-related services that a firm deems appropriate to perform should be covered under a separate standalone CTA engagement letter</w:t>
      </w:r>
      <w:r w:rsidRPr="002F6662">
        <w:rPr>
          <w:rFonts w:eastAsia="Times New Roman" w:cstheme="minorHAnsi"/>
          <w:bCs/>
          <w:lang w:val="en"/>
        </w:rPr>
        <w:t xml:space="preserve">. </w:t>
      </w:r>
    </w:p>
    <w:p w14:paraId="56A1CF41" w14:textId="77777777" w:rsidR="00DE5C0D" w:rsidRPr="00DE5C0D" w:rsidRDefault="00DE5C0D" w:rsidP="00B41478">
      <w:pPr>
        <w:pStyle w:val="ListParagraph"/>
        <w:ind w:left="1080"/>
        <w:rPr>
          <w:rFonts w:eastAsia="Times New Roman" w:cstheme="minorHAnsi"/>
          <w:bCs/>
          <w:lang w:val="en"/>
        </w:rPr>
      </w:pPr>
    </w:p>
    <w:p w14:paraId="6776AA4A" w14:textId="4594BA8D" w:rsidR="006277BF" w:rsidRPr="002F6662" w:rsidRDefault="00DE5C0D" w:rsidP="00B41478">
      <w:pPr>
        <w:pStyle w:val="ListParagraph"/>
        <w:shd w:val="clear" w:color="auto" w:fill="FFFFFF"/>
        <w:ind w:left="1080"/>
        <w:rPr>
          <w:rFonts w:cstheme="minorHAnsi"/>
          <w:color w:val="000000"/>
        </w:rPr>
      </w:pPr>
      <w:r>
        <w:rPr>
          <w:rFonts w:eastAsia="Times New Roman" w:cstheme="minorHAnsi"/>
          <w:bCs/>
          <w:lang w:val="en"/>
        </w:rPr>
        <w:t>The below engagement letter clause assumes that the firm will NOT be rendering any CTA-related services:</w:t>
      </w:r>
    </w:p>
    <w:p w14:paraId="5C7FBC3F" w14:textId="59D5B1F6" w:rsidR="006277BF" w:rsidRPr="006277BF" w:rsidRDefault="006277BF" w:rsidP="00B41478">
      <w:pPr>
        <w:pStyle w:val="Default"/>
        <w:ind w:left="1800"/>
        <w:rPr>
          <w:rFonts w:asciiTheme="minorHAnsi" w:hAnsiTheme="minorHAnsi" w:cstheme="minorHAnsi"/>
          <w:bCs/>
          <w:i/>
          <w:iCs/>
          <w:sz w:val="22"/>
          <w:szCs w:val="22"/>
        </w:rPr>
      </w:pPr>
      <w:r w:rsidRPr="006277BF">
        <w:rPr>
          <w:rFonts w:asciiTheme="minorHAnsi" w:eastAsia="Calibri" w:hAnsiTheme="minorHAnsi" w:cstheme="minorHAnsi"/>
          <w:i/>
          <w:iCs/>
          <w:sz w:val="22"/>
          <w:szCs w:val="22"/>
        </w:rPr>
        <w:t xml:space="preserve">Starting in 2024, the Corporate Transparency Act (“CTA”) mandates certain entities (primarily small and medium-size businesses) </w:t>
      </w:r>
      <w:r w:rsidRPr="006277BF">
        <w:rPr>
          <w:rFonts w:asciiTheme="minorHAnsi" w:hAnsiTheme="minorHAnsi" w:cstheme="minorHAnsi"/>
          <w:i/>
          <w:iCs/>
          <w:sz w:val="22"/>
          <w:szCs w:val="22"/>
        </w:rPr>
        <w:t>created in or registered to do business in the United States report information about their beneficial owners</w:t>
      </w:r>
      <w:r w:rsidR="00B968BF">
        <w:rPr>
          <w:rFonts w:asciiTheme="minorHAnsi" w:hAnsiTheme="minorHAnsi" w:cstheme="minorHAnsi"/>
          <w:i/>
          <w:iCs/>
          <w:sz w:val="22"/>
          <w:szCs w:val="22"/>
        </w:rPr>
        <w:t xml:space="preserve"> </w:t>
      </w:r>
      <w:r w:rsidRPr="006277BF">
        <w:rPr>
          <w:rFonts w:asciiTheme="minorHAnsi" w:hAnsiTheme="minorHAnsi" w:cstheme="minorHAnsi"/>
          <w:i/>
          <w:iCs/>
          <w:sz w:val="22"/>
          <w:szCs w:val="22"/>
        </w:rPr>
        <w:t>—</w:t>
      </w:r>
      <w:r w:rsidR="00B968BF">
        <w:rPr>
          <w:rFonts w:asciiTheme="minorHAnsi" w:hAnsiTheme="minorHAnsi" w:cstheme="minorHAnsi"/>
          <w:i/>
          <w:iCs/>
          <w:sz w:val="22"/>
          <w:szCs w:val="22"/>
        </w:rPr>
        <w:t xml:space="preserve"> </w:t>
      </w:r>
      <w:r w:rsidRPr="006277BF">
        <w:rPr>
          <w:rFonts w:asciiTheme="minorHAnsi" w:hAnsiTheme="minorHAnsi" w:cstheme="minorHAnsi"/>
          <w:i/>
          <w:iCs/>
          <w:sz w:val="22"/>
          <w:szCs w:val="22"/>
        </w:rPr>
        <w:t>the individuals who ultimately own or control a company</w:t>
      </w:r>
      <w:r w:rsidR="00B968BF">
        <w:rPr>
          <w:rFonts w:asciiTheme="minorHAnsi" w:hAnsiTheme="minorHAnsi" w:cstheme="minorHAnsi"/>
          <w:i/>
          <w:iCs/>
          <w:sz w:val="22"/>
          <w:szCs w:val="22"/>
        </w:rPr>
        <w:t xml:space="preserve"> </w:t>
      </w:r>
      <w:r w:rsidRPr="006277BF">
        <w:rPr>
          <w:rFonts w:asciiTheme="minorHAnsi" w:hAnsiTheme="minorHAnsi" w:cstheme="minorHAnsi"/>
          <w:i/>
          <w:iCs/>
          <w:sz w:val="22"/>
          <w:szCs w:val="22"/>
        </w:rPr>
        <w:t>—</w:t>
      </w:r>
      <w:r w:rsidR="00B968BF">
        <w:rPr>
          <w:rFonts w:asciiTheme="minorHAnsi" w:hAnsiTheme="minorHAnsi" w:cstheme="minorHAnsi"/>
          <w:i/>
          <w:iCs/>
          <w:sz w:val="22"/>
          <w:szCs w:val="22"/>
        </w:rPr>
        <w:t xml:space="preserve"> </w:t>
      </w:r>
      <w:r w:rsidRPr="006277BF">
        <w:rPr>
          <w:rFonts w:asciiTheme="minorHAnsi" w:hAnsiTheme="minorHAnsi" w:cstheme="minorHAnsi"/>
          <w:i/>
          <w:iCs/>
          <w:sz w:val="22"/>
          <w:szCs w:val="22"/>
        </w:rPr>
        <w:t xml:space="preserve">to </w:t>
      </w:r>
      <w:r w:rsidRPr="006277BF">
        <w:rPr>
          <w:rFonts w:asciiTheme="minorHAnsi" w:eastAsia="Calibri" w:hAnsiTheme="minorHAnsi" w:cstheme="minorHAnsi"/>
          <w:i/>
          <w:iCs/>
          <w:color w:val="auto"/>
          <w:sz w:val="22"/>
          <w:szCs w:val="22"/>
        </w:rPr>
        <w:t xml:space="preserve">the Financial Crimes Enforcement Network </w:t>
      </w:r>
      <w:r w:rsidRPr="006277BF">
        <w:rPr>
          <w:rFonts w:asciiTheme="minorHAnsi" w:eastAsia="Calibri" w:hAnsiTheme="minorHAnsi" w:cstheme="minorHAnsi"/>
          <w:i/>
          <w:iCs/>
          <w:color w:val="auto"/>
          <w:sz w:val="22"/>
          <w:szCs w:val="22"/>
        </w:rPr>
        <w:lastRenderedPageBreak/>
        <w:t xml:space="preserve">(“FinCEN”). </w:t>
      </w:r>
      <w:r w:rsidRPr="006277BF">
        <w:rPr>
          <w:rFonts w:asciiTheme="minorHAnsi" w:hAnsiTheme="minorHAnsi" w:cstheme="minorHAnsi"/>
          <w:bCs/>
          <w:i/>
          <w:iCs/>
          <w:sz w:val="22"/>
          <w:szCs w:val="22"/>
        </w:rPr>
        <w:t>Management is responsible for &lt;Client&gt;’s compliance with the CTA, if applicable to its business, and for ensuring that any required reporting of beneficial ownership information is timely filed with FinCEN as required by the CTA. As &lt;Firm&gt; is not rendering any legal services as part of our engagement, we will not be responsible for advising you regarding the legal or regulatory aspects of your company’s compliance with the CTA, nor are we responsible for the preparation or submission of &lt;Client&gt;’s beneficial ownership information reports to FinCEN. If you have any questions regarding &lt;Client&gt;’s compliance with the CTA, including but not limited to whether an exemption may apply to your organization or to ascertain whether relationships constitute beneficial ownership under CTA rules, we strongly encourage you to consult with qualified legal counsel experienced in this area.</w:t>
      </w:r>
      <w:r>
        <w:rPr>
          <w:rFonts w:asciiTheme="minorHAnsi" w:hAnsiTheme="minorHAnsi" w:cstheme="minorHAnsi"/>
          <w:bCs/>
          <w:i/>
          <w:iCs/>
          <w:sz w:val="22"/>
          <w:szCs w:val="22"/>
        </w:rPr>
        <w:t xml:space="preserve"> </w:t>
      </w:r>
    </w:p>
    <w:p w14:paraId="7629D7A7" w14:textId="21B9762F" w:rsidR="00DE5C0D" w:rsidRDefault="00DE5C0D" w:rsidP="00B41478">
      <w:pPr>
        <w:pStyle w:val="ListParagraph"/>
        <w:shd w:val="clear" w:color="auto" w:fill="FFFFFF"/>
        <w:ind w:left="1080"/>
      </w:pPr>
    </w:p>
    <w:p w14:paraId="73DC5A07" w14:textId="22097C37" w:rsidR="006277BF" w:rsidRDefault="00DE5C0D" w:rsidP="00B41478">
      <w:pPr>
        <w:pStyle w:val="ListParagraph"/>
        <w:shd w:val="clear" w:color="auto" w:fill="FFFFFF"/>
        <w:ind w:left="1080"/>
        <w:rPr>
          <w:rFonts w:cstheme="minorHAnsi"/>
          <w:color w:val="000000"/>
        </w:rPr>
      </w:pPr>
      <w:r w:rsidRPr="00222995">
        <w:t xml:space="preserve">If your firm </w:t>
      </w:r>
      <w:r>
        <w:t>DOES</w:t>
      </w:r>
      <w:r w:rsidRPr="00222995">
        <w:t xml:space="preserve"> anticipate providing some level of </w:t>
      </w:r>
      <w:r>
        <w:t xml:space="preserve">CTA-related </w:t>
      </w:r>
      <w:r w:rsidRPr="00222995">
        <w:t xml:space="preserve">service to your clients, you should </w:t>
      </w:r>
      <w:r>
        <w:t>modify the engagement letter disclaimer to clarify that any services would be covered under a separate engagement letter. See suggested language below:</w:t>
      </w:r>
    </w:p>
    <w:p w14:paraId="05A99D4D" w14:textId="7C8F6941" w:rsidR="00DE5C0D" w:rsidRPr="00DE5C0D" w:rsidRDefault="00DE5C0D" w:rsidP="00B41478">
      <w:pPr>
        <w:pStyle w:val="FootnoteText"/>
        <w:ind w:left="1800"/>
        <w:rPr>
          <w:sz w:val="22"/>
          <w:szCs w:val="22"/>
        </w:rPr>
      </w:pPr>
      <w:r w:rsidRPr="00DE5C0D">
        <w:rPr>
          <w:rFonts w:eastAsia="Calibri" w:cstheme="minorHAnsi"/>
          <w:i/>
          <w:iCs/>
          <w:sz w:val="22"/>
          <w:szCs w:val="22"/>
        </w:rPr>
        <w:t xml:space="preserve">Starting in 2024, the Corporate Transparency Act (“CTA”) mandates certain entities (primarily small and medium-size businesses) </w:t>
      </w:r>
      <w:r w:rsidRPr="00DE5C0D">
        <w:rPr>
          <w:rFonts w:cstheme="minorHAnsi"/>
          <w:i/>
          <w:iCs/>
          <w:sz w:val="22"/>
          <w:szCs w:val="22"/>
        </w:rPr>
        <w:t xml:space="preserve">created in or registered to do business in the United States report information about their beneficial owners — the individuals who ultimately own or control a company — to </w:t>
      </w:r>
      <w:r w:rsidRPr="00DE5C0D">
        <w:rPr>
          <w:rFonts w:eastAsia="Calibri" w:cstheme="minorHAnsi"/>
          <w:i/>
          <w:iCs/>
          <w:sz w:val="22"/>
          <w:szCs w:val="22"/>
        </w:rPr>
        <w:t xml:space="preserve">the Financial Crimes Enforcement Network (“FinCEN”). </w:t>
      </w:r>
      <w:r w:rsidRPr="00DE5C0D">
        <w:rPr>
          <w:rFonts w:cstheme="minorHAnsi"/>
          <w:bCs/>
          <w:i/>
          <w:iCs/>
          <w:sz w:val="22"/>
          <w:szCs w:val="22"/>
        </w:rPr>
        <w:t xml:space="preserve">Management is responsible for &lt;Client&gt;’s compliance with the CTA, if applicable to its business, and for ensuring that any required reporting of beneficial ownership information is timely filed with FinCEN as required by the CTA. </w:t>
      </w:r>
      <w:r w:rsidR="00DF6BD3">
        <w:rPr>
          <w:rFonts w:cstheme="minorHAnsi"/>
          <w:bCs/>
          <w:i/>
          <w:iCs/>
          <w:sz w:val="22"/>
          <w:szCs w:val="22"/>
        </w:rPr>
        <w:t>Our</w:t>
      </w:r>
      <w:r w:rsidR="00C34B6B">
        <w:rPr>
          <w:rFonts w:cstheme="minorHAnsi"/>
          <w:bCs/>
          <w:i/>
          <w:iCs/>
          <w:sz w:val="22"/>
          <w:szCs w:val="22"/>
        </w:rPr>
        <w:t xml:space="preserve"> firm’s services under the terms of this agreement</w:t>
      </w:r>
      <w:r w:rsidR="00DF6BD3">
        <w:rPr>
          <w:rFonts w:cstheme="minorHAnsi"/>
          <w:bCs/>
          <w:i/>
          <w:iCs/>
          <w:sz w:val="22"/>
          <w:szCs w:val="22"/>
        </w:rPr>
        <w:t xml:space="preserve"> </w:t>
      </w:r>
      <w:r w:rsidR="00DF60FE">
        <w:rPr>
          <w:rFonts w:cstheme="minorHAnsi"/>
          <w:bCs/>
          <w:i/>
          <w:iCs/>
          <w:sz w:val="22"/>
          <w:szCs w:val="22"/>
        </w:rPr>
        <w:t>do</w:t>
      </w:r>
      <w:r w:rsidR="00DF6BD3">
        <w:rPr>
          <w:rFonts w:cstheme="minorHAnsi"/>
          <w:bCs/>
          <w:i/>
          <w:iCs/>
          <w:sz w:val="22"/>
          <w:szCs w:val="22"/>
        </w:rPr>
        <w:t xml:space="preserve"> NOT include any </w:t>
      </w:r>
      <w:r w:rsidR="00CF6E61">
        <w:rPr>
          <w:rFonts w:cstheme="minorHAnsi"/>
          <w:bCs/>
          <w:i/>
          <w:iCs/>
          <w:sz w:val="22"/>
          <w:szCs w:val="22"/>
        </w:rPr>
        <w:t>adv</w:t>
      </w:r>
      <w:r w:rsidR="00601BE9">
        <w:rPr>
          <w:rFonts w:cstheme="minorHAnsi"/>
          <w:bCs/>
          <w:i/>
          <w:iCs/>
          <w:sz w:val="22"/>
          <w:szCs w:val="22"/>
        </w:rPr>
        <w:t xml:space="preserve">ising </w:t>
      </w:r>
      <w:r w:rsidR="00CF6E61">
        <w:rPr>
          <w:rFonts w:cstheme="minorHAnsi"/>
          <w:bCs/>
          <w:i/>
          <w:iCs/>
          <w:sz w:val="22"/>
          <w:szCs w:val="22"/>
        </w:rPr>
        <w:t xml:space="preserve">or consulting </w:t>
      </w:r>
      <w:r w:rsidR="00DF60FE">
        <w:rPr>
          <w:rFonts w:cstheme="minorHAnsi"/>
          <w:bCs/>
          <w:i/>
          <w:iCs/>
          <w:sz w:val="22"/>
          <w:szCs w:val="22"/>
        </w:rPr>
        <w:t>related to</w:t>
      </w:r>
      <w:r w:rsidR="00DF6BD3">
        <w:rPr>
          <w:rFonts w:cstheme="minorHAnsi"/>
          <w:bCs/>
          <w:i/>
          <w:iCs/>
          <w:sz w:val="22"/>
          <w:szCs w:val="22"/>
        </w:rPr>
        <w:t xml:space="preserve"> your entity</w:t>
      </w:r>
      <w:r w:rsidR="00C34B6B" w:rsidRPr="006277BF">
        <w:rPr>
          <w:rFonts w:cstheme="minorHAnsi"/>
          <w:bCs/>
          <w:i/>
          <w:iCs/>
          <w:sz w:val="22"/>
          <w:szCs w:val="22"/>
        </w:rPr>
        <w:t>’s compliance with the CTA</w:t>
      </w:r>
      <w:r w:rsidR="00C34B6B">
        <w:rPr>
          <w:rFonts w:cstheme="minorHAnsi"/>
          <w:bCs/>
          <w:i/>
          <w:iCs/>
          <w:sz w:val="22"/>
          <w:szCs w:val="22"/>
        </w:rPr>
        <w:t>. I</w:t>
      </w:r>
      <w:r w:rsidRPr="00DE5C0D">
        <w:rPr>
          <w:rFonts w:cstheme="minorHAnsi"/>
          <w:bCs/>
          <w:i/>
          <w:iCs/>
          <w:sz w:val="22"/>
          <w:szCs w:val="22"/>
        </w:rPr>
        <w:t xml:space="preserve">f you have any questions regarding &lt;Client&gt;’s compliance with the CTA, including but not limited to whether an exemption may apply to your organization or to ascertain whether relationships constitute beneficial ownership under CTA rules, please contact us. Any </w:t>
      </w:r>
      <w:r w:rsidR="00DF60FE">
        <w:rPr>
          <w:rFonts w:cstheme="minorHAnsi"/>
          <w:bCs/>
          <w:i/>
          <w:iCs/>
          <w:sz w:val="22"/>
          <w:szCs w:val="22"/>
        </w:rPr>
        <w:t xml:space="preserve">CTA-related </w:t>
      </w:r>
      <w:r w:rsidRPr="00DE5C0D">
        <w:rPr>
          <w:rFonts w:cstheme="minorHAnsi"/>
          <w:bCs/>
          <w:i/>
          <w:iCs/>
          <w:sz w:val="22"/>
          <w:szCs w:val="22"/>
        </w:rPr>
        <w:t xml:space="preserve">services we agree to perform will be covered under a separate engagement letter. </w:t>
      </w:r>
    </w:p>
    <w:p w14:paraId="3C787121" w14:textId="57044F4A" w:rsidR="00DE5C0D" w:rsidRDefault="00DE5C0D" w:rsidP="00B41478">
      <w:pPr>
        <w:pStyle w:val="ListParagraph"/>
        <w:shd w:val="clear" w:color="auto" w:fill="FFFFFF"/>
        <w:ind w:left="1800"/>
        <w:rPr>
          <w:rFonts w:eastAsia="Times New Roman" w:cstheme="minorHAnsi"/>
          <w:bCs/>
          <w:lang w:val="en"/>
        </w:rPr>
      </w:pPr>
    </w:p>
    <w:p w14:paraId="139E1D23" w14:textId="77777777" w:rsidR="00C063E7" w:rsidRDefault="00C063E7" w:rsidP="00B41478">
      <w:pPr>
        <w:pStyle w:val="ListParagraph"/>
        <w:shd w:val="clear" w:color="auto" w:fill="FFFFFF"/>
        <w:ind w:left="1800"/>
        <w:rPr>
          <w:rFonts w:eastAsia="Times New Roman" w:cstheme="minorHAnsi"/>
          <w:bCs/>
          <w:lang w:val="en"/>
        </w:rPr>
      </w:pPr>
    </w:p>
    <w:p w14:paraId="5AA11209" w14:textId="0AD57A74" w:rsidR="001F4EDF" w:rsidRPr="00C063E7" w:rsidRDefault="000E589F" w:rsidP="006F671C">
      <w:pPr>
        <w:pStyle w:val="ListParagraph"/>
        <w:ind w:left="0"/>
        <w:rPr>
          <w:rFonts w:cstheme="minorHAnsi"/>
          <w:b/>
          <w:bCs/>
          <w:i/>
          <w:iCs/>
          <w:sz w:val="28"/>
          <w:szCs w:val="28"/>
          <w:u w:val="single"/>
        </w:rPr>
      </w:pPr>
      <w:r w:rsidRPr="00C063E7">
        <w:rPr>
          <w:rFonts w:cstheme="minorHAnsi"/>
          <w:b/>
          <w:bCs/>
          <w:i/>
          <w:iCs/>
          <w:sz w:val="28"/>
          <w:szCs w:val="28"/>
          <w:u w:val="single"/>
        </w:rPr>
        <w:t xml:space="preserve">Section 3: </w:t>
      </w:r>
      <w:r w:rsidR="001F4EDF" w:rsidRPr="00C063E7">
        <w:rPr>
          <w:rFonts w:cstheme="minorHAnsi"/>
          <w:b/>
          <w:bCs/>
          <w:i/>
          <w:iCs/>
          <w:sz w:val="28"/>
          <w:szCs w:val="28"/>
          <w:u w:val="single"/>
        </w:rPr>
        <w:t>Coverage Implications</w:t>
      </w:r>
    </w:p>
    <w:p w14:paraId="3CD996F0" w14:textId="58B919FB" w:rsidR="00A95898" w:rsidRPr="006F671C" w:rsidRDefault="001F4EDF" w:rsidP="00E806A2">
      <w:pPr>
        <w:shd w:val="clear" w:color="auto" w:fill="FFFFFF"/>
        <w:tabs>
          <w:tab w:val="left" w:pos="720"/>
        </w:tabs>
        <w:rPr>
          <w:rFonts w:cstheme="minorHAnsi"/>
          <w:b/>
          <w:bCs/>
        </w:rPr>
      </w:pPr>
      <w:r w:rsidRPr="006F671C">
        <w:rPr>
          <w:rFonts w:cstheme="minorHAnsi"/>
          <w:b/>
          <w:bCs/>
        </w:rPr>
        <w:t>Q.</w:t>
      </w:r>
      <w:r w:rsidR="00763C7B" w:rsidRPr="006F671C">
        <w:rPr>
          <w:rFonts w:cstheme="minorHAnsi"/>
          <w:b/>
          <w:bCs/>
        </w:rPr>
        <w:t xml:space="preserve"> </w:t>
      </w:r>
      <w:r w:rsidR="00145607">
        <w:rPr>
          <w:rFonts w:cstheme="minorHAnsi"/>
          <w:b/>
          <w:bCs/>
        </w:rPr>
        <w:t>What are the c</w:t>
      </w:r>
      <w:r w:rsidRPr="006F671C">
        <w:rPr>
          <w:rFonts w:cstheme="minorHAnsi"/>
          <w:b/>
          <w:bCs/>
        </w:rPr>
        <w:t>overage</w:t>
      </w:r>
      <w:r w:rsidR="002A15C8">
        <w:rPr>
          <w:rFonts w:cstheme="minorHAnsi"/>
          <w:b/>
          <w:bCs/>
        </w:rPr>
        <w:t xml:space="preserve"> implications</w:t>
      </w:r>
      <w:r w:rsidR="00145607">
        <w:rPr>
          <w:rFonts w:cstheme="minorHAnsi"/>
          <w:b/>
          <w:bCs/>
        </w:rPr>
        <w:t>, if any,</w:t>
      </w:r>
      <w:r w:rsidRPr="006F671C">
        <w:rPr>
          <w:rFonts w:cstheme="minorHAnsi"/>
          <w:b/>
          <w:bCs/>
        </w:rPr>
        <w:t xml:space="preserve"> under </w:t>
      </w:r>
      <w:r w:rsidR="009409BD">
        <w:rPr>
          <w:rFonts w:cstheme="minorHAnsi"/>
          <w:b/>
          <w:bCs/>
        </w:rPr>
        <w:t>CAMICO’s</w:t>
      </w:r>
      <w:r w:rsidR="009409BD" w:rsidRPr="006F671C">
        <w:rPr>
          <w:rFonts w:cstheme="minorHAnsi"/>
          <w:b/>
          <w:bCs/>
        </w:rPr>
        <w:t xml:space="preserve"> </w:t>
      </w:r>
      <w:r w:rsidRPr="006F671C">
        <w:rPr>
          <w:rFonts w:cstheme="minorHAnsi"/>
          <w:b/>
          <w:bCs/>
        </w:rPr>
        <w:t xml:space="preserve">professional liability policy </w:t>
      </w:r>
      <w:r w:rsidR="008E05C2" w:rsidRPr="006F671C">
        <w:rPr>
          <w:rFonts w:cstheme="minorHAnsi"/>
          <w:b/>
          <w:bCs/>
        </w:rPr>
        <w:t xml:space="preserve">for assisting clients with </w:t>
      </w:r>
      <w:r w:rsidR="00F521BE" w:rsidRPr="006F671C">
        <w:rPr>
          <w:rFonts w:cstheme="minorHAnsi"/>
          <w:b/>
          <w:bCs/>
        </w:rPr>
        <w:t>CTA-related services</w:t>
      </w:r>
      <w:r w:rsidRPr="006F671C">
        <w:rPr>
          <w:rFonts w:cstheme="minorHAnsi"/>
          <w:b/>
          <w:bCs/>
        </w:rPr>
        <w:t>?</w:t>
      </w:r>
      <w:r w:rsidR="00DF0CBA" w:rsidRPr="006F671C">
        <w:rPr>
          <w:rFonts w:cstheme="minorHAnsi"/>
          <w:b/>
          <w:bCs/>
        </w:rPr>
        <w:t xml:space="preserve"> </w:t>
      </w:r>
    </w:p>
    <w:p w14:paraId="2DAEFAA5" w14:textId="5D675719" w:rsidR="009409BD" w:rsidRDefault="00A95898" w:rsidP="00893D06">
      <w:pPr>
        <w:spacing w:after="0" w:line="240" w:lineRule="auto"/>
        <w:ind w:left="720"/>
        <w:rPr>
          <w:rFonts w:cstheme="minorHAnsi"/>
          <w:color w:val="292933"/>
          <w:shd w:val="clear" w:color="auto" w:fill="FFFFFF"/>
        </w:rPr>
      </w:pPr>
      <w:r w:rsidRPr="006F671C">
        <w:rPr>
          <w:rFonts w:cstheme="minorHAnsi"/>
          <w:b/>
          <w:bCs/>
        </w:rPr>
        <w:t>A.</w:t>
      </w:r>
      <w:r w:rsidR="005079AF">
        <w:rPr>
          <w:rFonts w:cstheme="minorHAnsi"/>
          <w:b/>
          <w:bCs/>
        </w:rPr>
        <w:t xml:space="preserve"> </w:t>
      </w:r>
      <w:r w:rsidRPr="006F671C">
        <w:rPr>
          <w:rFonts w:cstheme="minorHAnsi"/>
        </w:rPr>
        <w:t>The CAMICO policy responds to a great variety of claims due to its broad definition of covered professional services.</w:t>
      </w:r>
      <w:r w:rsidR="00893D06">
        <w:rPr>
          <w:rFonts w:cstheme="minorHAnsi"/>
        </w:rPr>
        <w:t xml:space="preserve"> </w:t>
      </w:r>
      <w:r w:rsidRPr="006F671C">
        <w:rPr>
          <w:rFonts w:cstheme="minorHAnsi"/>
        </w:rPr>
        <w:t>The use of a broad definition means that as new service areas arise, the policy does not need to be amended to extend coverage to the new services.</w:t>
      </w:r>
      <w:r w:rsidR="00893D06">
        <w:rPr>
          <w:rFonts w:cstheme="minorHAnsi"/>
        </w:rPr>
        <w:t xml:space="preserve"> </w:t>
      </w:r>
      <w:r w:rsidRPr="006F671C">
        <w:rPr>
          <w:rFonts w:cstheme="minorHAnsi"/>
        </w:rPr>
        <w:t>Each claim is unique, however, and must be reviewed according to its specific allegations and in conjunction with all the terms and conditions of the policy.</w:t>
      </w:r>
      <w:r w:rsidR="00893D06">
        <w:rPr>
          <w:rFonts w:cstheme="minorHAnsi"/>
        </w:rPr>
        <w:t xml:space="preserve"> </w:t>
      </w:r>
      <w:r w:rsidRPr="006F671C">
        <w:rPr>
          <w:rFonts w:cstheme="minorHAnsi"/>
        </w:rPr>
        <w:t xml:space="preserve">CAMICO intends that coverage will respond to the typical CTA claim we anticipate receiving, </w:t>
      </w:r>
      <w:r w:rsidR="002939BF" w:rsidRPr="009A6996">
        <w:rPr>
          <w:rFonts w:cstheme="minorHAnsi"/>
        </w:rPr>
        <w:t xml:space="preserve">particularly if at the time the services are rendered both the state in which the firm and client reside have not deemed that providing CTA-related services to be the unauthorized practice of law (refer to </w:t>
      </w:r>
      <w:r w:rsidR="002939BF" w:rsidRPr="009A6996">
        <w:rPr>
          <w:rFonts w:cstheme="minorHAnsi"/>
          <w:b/>
          <w:bCs/>
        </w:rPr>
        <w:t>next question</w:t>
      </w:r>
      <w:r w:rsidR="002939BF" w:rsidRPr="009A6996">
        <w:rPr>
          <w:rFonts w:cstheme="minorHAnsi"/>
        </w:rPr>
        <w:t>).</w:t>
      </w:r>
      <w:r w:rsidR="001E592A">
        <w:rPr>
          <w:rFonts w:cstheme="minorHAnsi"/>
        </w:rPr>
        <w:t xml:space="preserve"> </w:t>
      </w:r>
      <w:r w:rsidR="00C30AC5">
        <w:rPr>
          <w:rFonts w:cstheme="minorHAnsi"/>
          <w:color w:val="292933"/>
          <w:shd w:val="clear" w:color="auto" w:fill="FFFFFF"/>
        </w:rPr>
        <w:t>However, it is important to note that i</w:t>
      </w:r>
      <w:r w:rsidR="00F52A23">
        <w:rPr>
          <w:rFonts w:cstheme="minorHAnsi"/>
          <w:color w:val="292933"/>
          <w:shd w:val="clear" w:color="auto" w:fill="FFFFFF"/>
        </w:rPr>
        <w:t>nsurance com</w:t>
      </w:r>
      <w:r w:rsidR="00F11BF4">
        <w:rPr>
          <w:rFonts w:cstheme="minorHAnsi"/>
          <w:color w:val="292933"/>
          <w:shd w:val="clear" w:color="auto" w:fill="FFFFFF"/>
        </w:rPr>
        <w:t xml:space="preserve">panies </w:t>
      </w:r>
      <w:r w:rsidR="009264B9">
        <w:rPr>
          <w:rFonts w:cstheme="minorHAnsi"/>
          <w:color w:val="292933"/>
          <w:shd w:val="clear" w:color="auto" w:fill="FFFFFF"/>
        </w:rPr>
        <w:t>are under</w:t>
      </w:r>
      <w:r w:rsidR="00A31700">
        <w:rPr>
          <w:rFonts w:cstheme="minorHAnsi"/>
          <w:color w:val="292933"/>
          <w:shd w:val="clear" w:color="auto" w:fill="FFFFFF"/>
        </w:rPr>
        <w:t xml:space="preserve"> strict regulatory guidelines </w:t>
      </w:r>
      <w:r w:rsidR="001E592A">
        <w:rPr>
          <w:rFonts w:cstheme="minorHAnsi"/>
          <w:color w:val="292933"/>
          <w:shd w:val="clear" w:color="auto" w:fill="FFFFFF"/>
        </w:rPr>
        <w:t xml:space="preserve">that </w:t>
      </w:r>
      <w:r w:rsidR="00F11BF4">
        <w:rPr>
          <w:rFonts w:cstheme="minorHAnsi"/>
          <w:color w:val="292933"/>
          <w:shd w:val="clear" w:color="auto" w:fill="FFFFFF"/>
        </w:rPr>
        <w:t xml:space="preserve">typically </w:t>
      </w:r>
      <w:r w:rsidR="002E1F01">
        <w:rPr>
          <w:rFonts w:cstheme="minorHAnsi"/>
          <w:color w:val="292933"/>
          <w:shd w:val="clear" w:color="auto" w:fill="FFFFFF"/>
        </w:rPr>
        <w:t>preclude</w:t>
      </w:r>
      <w:r w:rsidR="00A31700">
        <w:rPr>
          <w:rFonts w:cstheme="minorHAnsi"/>
          <w:color w:val="292933"/>
          <w:shd w:val="clear" w:color="auto" w:fill="FFFFFF"/>
        </w:rPr>
        <w:t xml:space="preserve"> carriers</w:t>
      </w:r>
      <w:r w:rsidR="00F11BF4">
        <w:rPr>
          <w:rFonts w:cstheme="minorHAnsi"/>
          <w:color w:val="292933"/>
          <w:shd w:val="clear" w:color="auto" w:fill="FFFFFF"/>
        </w:rPr>
        <w:t xml:space="preserve"> </w:t>
      </w:r>
      <w:r w:rsidR="00F52A23" w:rsidRPr="00F52A23">
        <w:rPr>
          <w:rFonts w:cstheme="minorHAnsi"/>
          <w:color w:val="292933"/>
          <w:shd w:val="clear" w:color="auto" w:fill="FFFFFF"/>
        </w:rPr>
        <w:t>from insuring parties for their criminal acts</w:t>
      </w:r>
      <w:r w:rsidR="00A31700">
        <w:rPr>
          <w:rFonts w:cstheme="minorHAnsi"/>
          <w:color w:val="292933"/>
          <w:shd w:val="clear" w:color="auto" w:fill="FFFFFF"/>
        </w:rPr>
        <w:t>.</w:t>
      </w:r>
      <w:r w:rsidR="0021152D">
        <w:rPr>
          <w:rFonts w:cstheme="minorHAnsi"/>
          <w:color w:val="292933"/>
          <w:shd w:val="clear" w:color="auto" w:fill="FFFFFF"/>
        </w:rPr>
        <w:t xml:space="preserve"> </w:t>
      </w:r>
      <w:r w:rsidR="002E1F01">
        <w:rPr>
          <w:rFonts w:cstheme="minorHAnsi"/>
          <w:color w:val="292933"/>
          <w:shd w:val="clear" w:color="auto" w:fill="FFFFFF"/>
        </w:rPr>
        <w:t xml:space="preserve">As such, </w:t>
      </w:r>
      <w:r w:rsidR="00A31700">
        <w:rPr>
          <w:rFonts w:cstheme="minorHAnsi"/>
          <w:color w:val="292933"/>
          <w:shd w:val="clear" w:color="auto" w:fill="FFFFFF"/>
        </w:rPr>
        <w:t>p</w:t>
      </w:r>
      <w:r w:rsidR="00F52A23" w:rsidRPr="00F52A23">
        <w:rPr>
          <w:rFonts w:cstheme="minorHAnsi"/>
          <w:color w:val="292933"/>
          <w:shd w:val="clear" w:color="auto" w:fill="FFFFFF"/>
        </w:rPr>
        <w:t xml:space="preserve">rofessional liability policies, including those for accountants, </w:t>
      </w:r>
      <w:r w:rsidR="0021152D">
        <w:rPr>
          <w:rFonts w:cstheme="minorHAnsi"/>
          <w:color w:val="292933"/>
          <w:shd w:val="clear" w:color="auto" w:fill="FFFFFF"/>
        </w:rPr>
        <w:t xml:space="preserve">have an </w:t>
      </w:r>
      <w:r w:rsidR="00F52A23" w:rsidRPr="00F52A23">
        <w:rPr>
          <w:rFonts w:cstheme="minorHAnsi"/>
          <w:color w:val="292933"/>
          <w:shd w:val="clear" w:color="auto" w:fill="FFFFFF"/>
        </w:rPr>
        <w:t>exclu</w:t>
      </w:r>
      <w:r w:rsidR="0021152D">
        <w:rPr>
          <w:rFonts w:cstheme="minorHAnsi"/>
          <w:color w:val="292933"/>
          <w:shd w:val="clear" w:color="auto" w:fill="FFFFFF"/>
        </w:rPr>
        <w:t>sion</w:t>
      </w:r>
      <w:r w:rsidR="00F52A23" w:rsidRPr="00F52A23">
        <w:rPr>
          <w:rFonts w:cstheme="minorHAnsi"/>
          <w:color w:val="292933"/>
          <w:shd w:val="clear" w:color="auto" w:fill="FFFFFF"/>
        </w:rPr>
        <w:t xml:space="preserve"> for </w:t>
      </w:r>
      <w:r w:rsidR="002E1F01">
        <w:rPr>
          <w:rFonts w:cstheme="minorHAnsi"/>
          <w:color w:val="292933"/>
          <w:shd w:val="clear" w:color="auto" w:fill="FFFFFF"/>
        </w:rPr>
        <w:t>any claim based on, or arising from or related to</w:t>
      </w:r>
      <w:r w:rsidR="009264B9">
        <w:rPr>
          <w:rFonts w:cstheme="minorHAnsi"/>
          <w:color w:val="292933"/>
          <w:shd w:val="clear" w:color="auto" w:fill="FFFFFF"/>
        </w:rPr>
        <w:t>,</w:t>
      </w:r>
      <w:r w:rsidR="002E1F01">
        <w:rPr>
          <w:rFonts w:cstheme="minorHAnsi"/>
          <w:color w:val="292933"/>
          <w:shd w:val="clear" w:color="auto" w:fill="FFFFFF"/>
        </w:rPr>
        <w:t xml:space="preserve"> a criminal act. </w:t>
      </w:r>
      <w:r w:rsidR="00C30AC5" w:rsidRPr="00C30AC5">
        <w:rPr>
          <w:rFonts w:cstheme="minorHAnsi"/>
          <w:color w:val="292933"/>
          <w:shd w:val="clear" w:color="auto" w:fill="FFFFFF"/>
        </w:rPr>
        <w:t>So,</w:t>
      </w:r>
      <w:r w:rsidR="00DE29C1">
        <w:rPr>
          <w:rFonts w:cstheme="minorHAnsi"/>
          <w:color w:val="292933"/>
          <w:shd w:val="clear" w:color="auto" w:fill="FFFFFF"/>
        </w:rPr>
        <w:t xml:space="preserve"> as</w:t>
      </w:r>
      <w:r w:rsidR="00C30AC5" w:rsidRPr="00C30AC5">
        <w:rPr>
          <w:rFonts w:cstheme="minorHAnsi"/>
          <w:color w:val="292933"/>
          <w:shd w:val="clear" w:color="auto" w:fill="FFFFFF"/>
        </w:rPr>
        <w:t xml:space="preserve"> UPL violation</w:t>
      </w:r>
      <w:r w:rsidR="009264B9">
        <w:rPr>
          <w:rFonts w:cstheme="minorHAnsi"/>
          <w:color w:val="292933"/>
          <w:shd w:val="clear" w:color="auto" w:fill="FFFFFF"/>
        </w:rPr>
        <w:t>s</w:t>
      </w:r>
      <w:r w:rsidR="00DE29C1">
        <w:rPr>
          <w:rFonts w:cstheme="minorHAnsi"/>
          <w:color w:val="292933"/>
          <w:shd w:val="clear" w:color="auto" w:fill="FFFFFF"/>
        </w:rPr>
        <w:t xml:space="preserve"> in some states </w:t>
      </w:r>
      <w:r w:rsidR="00C30AC5" w:rsidRPr="00C30AC5">
        <w:rPr>
          <w:rFonts w:cstheme="minorHAnsi"/>
          <w:color w:val="292933"/>
          <w:shd w:val="clear" w:color="auto" w:fill="FFFFFF"/>
        </w:rPr>
        <w:t>may be treated as criminal matter</w:t>
      </w:r>
      <w:r w:rsidR="009264B9">
        <w:rPr>
          <w:rFonts w:cstheme="minorHAnsi"/>
          <w:color w:val="292933"/>
          <w:shd w:val="clear" w:color="auto" w:fill="FFFFFF"/>
        </w:rPr>
        <w:t>s</w:t>
      </w:r>
      <w:r w:rsidR="00DE29C1">
        <w:rPr>
          <w:rFonts w:cstheme="minorHAnsi"/>
          <w:color w:val="292933"/>
          <w:shd w:val="clear" w:color="auto" w:fill="FFFFFF"/>
        </w:rPr>
        <w:t xml:space="preserve">, </w:t>
      </w:r>
      <w:r w:rsidR="006525F2">
        <w:rPr>
          <w:rFonts w:cstheme="minorHAnsi"/>
          <w:color w:val="292933"/>
          <w:shd w:val="clear" w:color="auto" w:fill="FFFFFF"/>
        </w:rPr>
        <w:t xml:space="preserve">any </w:t>
      </w:r>
      <w:r w:rsidR="00DE29C1">
        <w:rPr>
          <w:rFonts w:cstheme="minorHAnsi"/>
          <w:color w:val="292933"/>
          <w:shd w:val="clear" w:color="auto" w:fill="FFFFFF"/>
        </w:rPr>
        <w:t>such claims</w:t>
      </w:r>
      <w:r w:rsidR="00C30AC5">
        <w:rPr>
          <w:rFonts w:cstheme="minorHAnsi"/>
          <w:color w:val="292933"/>
          <w:shd w:val="clear" w:color="auto" w:fill="FFFFFF"/>
        </w:rPr>
        <w:t xml:space="preserve"> </w:t>
      </w:r>
      <w:r w:rsidR="009264B9">
        <w:rPr>
          <w:rFonts w:cstheme="minorHAnsi"/>
          <w:color w:val="292933"/>
          <w:shd w:val="clear" w:color="auto" w:fill="FFFFFF"/>
        </w:rPr>
        <w:t>could</w:t>
      </w:r>
      <w:r w:rsidR="00C30AC5">
        <w:rPr>
          <w:rFonts w:cstheme="minorHAnsi"/>
          <w:color w:val="292933"/>
          <w:shd w:val="clear" w:color="auto" w:fill="FFFFFF"/>
        </w:rPr>
        <w:t xml:space="preserve"> trigger this exclusion.</w:t>
      </w:r>
    </w:p>
    <w:p w14:paraId="1D5686A4" w14:textId="77777777" w:rsidR="00893D06" w:rsidRDefault="00893D06" w:rsidP="00E806A2">
      <w:pPr>
        <w:spacing w:after="0" w:line="240" w:lineRule="auto"/>
        <w:ind w:left="720"/>
        <w:rPr>
          <w:rFonts w:cstheme="minorHAnsi"/>
          <w:color w:val="292933"/>
          <w:shd w:val="clear" w:color="auto" w:fill="FFFFFF"/>
        </w:rPr>
      </w:pPr>
    </w:p>
    <w:p w14:paraId="1B289C89" w14:textId="018B1360" w:rsidR="000E589F" w:rsidRDefault="006525F2" w:rsidP="00D27FA3">
      <w:pPr>
        <w:shd w:val="clear" w:color="auto" w:fill="FFFFFF"/>
        <w:spacing w:after="0" w:line="240" w:lineRule="auto"/>
        <w:ind w:left="720"/>
        <w:rPr>
          <w:rFonts w:cstheme="minorHAnsi"/>
          <w:color w:val="292933"/>
          <w:shd w:val="clear" w:color="auto" w:fill="FFFFFF"/>
        </w:rPr>
      </w:pPr>
      <w:r>
        <w:rPr>
          <w:rFonts w:cstheme="minorHAnsi"/>
          <w:color w:val="292933"/>
          <w:shd w:val="clear" w:color="auto" w:fill="FFFFFF"/>
        </w:rPr>
        <w:t xml:space="preserve">If you have any </w:t>
      </w:r>
      <w:r w:rsidR="006E69B8">
        <w:rPr>
          <w:rFonts w:cstheme="minorHAnsi"/>
          <w:color w:val="292933"/>
          <w:shd w:val="clear" w:color="auto" w:fill="FFFFFF"/>
        </w:rPr>
        <w:t xml:space="preserve">specific </w:t>
      </w:r>
      <w:r w:rsidR="00F812BA">
        <w:rPr>
          <w:rFonts w:cstheme="minorHAnsi"/>
          <w:color w:val="292933"/>
          <w:shd w:val="clear" w:color="auto" w:fill="FFFFFF"/>
        </w:rPr>
        <w:t>coverage-related</w:t>
      </w:r>
      <w:r w:rsidR="006E69B8">
        <w:rPr>
          <w:rFonts w:cstheme="minorHAnsi"/>
          <w:color w:val="292933"/>
          <w:shd w:val="clear" w:color="auto" w:fill="FFFFFF"/>
        </w:rPr>
        <w:t xml:space="preserve"> </w:t>
      </w:r>
      <w:r w:rsidR="00DC2D46">
        <w:rPr>
          <w:rFonts w:cstheme="minorHAnsi"/>
          <w:color w:val="292933"/>
          <w:shd w:val="clear" w:color="auto" w:fill="FFFFFF"/>
        </w:rPr>
        <w:t>questions,</w:t>
      </w:r>
      <w:r>
        <w:rPr>
          <w:rFonts w:cstheme="minorHAnsi"/>
          <w:color w:val="292933"/>
          <w:shd w:val="clear" w:color="auto" w:fill="FFFFFF"/>
        </w:rPr>
        <w:t xml:space="preserve"> please contact CAMICO at 1.800.</w:t>
      </w:r>
      <w:r w:rsidR="00DE1F41">
        <w:rPr>
          <w:rFonts w:cstheme="minorHAnsi"/>
          <w:color w:val="292933"/>
          <w:shd w:val="clear" w:color="auto" w:fill="FFFFFF"/>
        </w:rPr>
        <w:t>65</w:t>
      </w:r>
      <w:r>
        <w:rPr>
          <w:rFonts w:cstheme="minorHAnsi"/>
          <w:color w:val="292933"/>
          <w:shd w:val="clear" w:color="auto" w:fill="FFFFFF"/>
        </w:rPr>
        <w:t>2.1772</w:t>
      </w:r>
      <w:r w:rsidR="00705DE4">
        <w:rPr>
          <w:rFonts w:cstheme="minorHAnsi"/>
          <w:color w:val="292933"/>
          <w:shd w:val="clear" w:color="auto" w:fill="FFFFFF"/>
        </w:rPr>
        <w:t xml:space="preserve"> and ask to speak with your underwriter</w:t>
      </w:r>
      <w:r>
        <w:rPr>
          <w:rFonts w:cstheme="minorHAnsi"/>
          <w:color w:val="292933"/>
          <w:shd w:val="clear" w:color="auto" w:fill="FFFFFF"/>
        </w:rPr>
        <w:t>.</w:t>
      </w:r>
      <w:r w:rsidR="00C30AC5">
        <w:rPr>
          <w:rFonts w:cstheme="minorHAnsi"/>
          <w:color w:val="292933"/>
          <w:shd w:val="clear" w:color="auto" w:fill="FFFFFF"/>
        </w:rPr>
        <w:t xml:space="preserve"> </w:t>
      </w:r>
    </w:p>
    <w:p w14:paraId="61951E39" w14:textId="77777777" w:rsidR="001E592A" w:rsidRPr="00E806A2" w:rsidRDefault="001E592A" w:rsidP="00E806A2">
      <w:pPr>
        <w:shd w:val="clear" w:color="auto" w:fill="FFFFFF"/>
        <w:spacing w:after="0" w:line="240" w:lineRule="auto"/>
        <w:ind w:left="720"/>
        <w:rPr>
          <w:rFonts w:cstheme="minorHAnsi"/>
          <w:color w:val="292933"/>
          <w:shd w:val="clear" w:color="auto" w:fill="FFFFFF"/>
        </w:rPr>
      </w:pPr>
    </w:p>
    <w:p w14:paraId="6228B534" w14:textId="684FDC4E" w:rsidR="002F54FD" w:rsidRPr="00410A87" w:rsidRDefault="002F54FD" w:rsidP="002F54FD">
      <w:pPr>
        <w:rPr>
          <w:rFonts w:cstheme="minorHAnsi"/>
          <w:b/>
          <w:bCs/>
        </w:rPr>
      </w:pPr>
      <w:r w:rsidRPr="00410A87">
        <w:rPr>
          <w:rFonts w:cstheme="minorHAnsi"/>
          <w:b/>
          <w:bCs/>
        </w:rPr>
        <w:t xml:space="preserve">Q. Since no state has yet to provide a definitive statement on whether CTA-related advisory services would be considered the unauthorized practice of law, what happens from a coverage perspective if </w:t>
      </w:r>
      <w:proofErr w:type="gramStart"/>
      <w:r w:rsidRPr="00410A87">
        <w:rPr>
          <w:rFonts w:cstheme="minorHAnsi"/>
          <w:b/>
          <w:bCs/>
        </w:rPr>
        <w:t>at a later date</w:t>
      </w:r>
      <w:proofErr w:type="gramEnd"/>
      <w:r w:rsidRPr="00410A87">
        <w:rPr>
          <w:rFonts w:cstheme="minorHAnsi"/>
          <w:b/>
          <w:bCs/>
        </w:rPr>
        <w:t xml:space="preserve"> our state and/or the state in which the client resides determines that such services are in fact deemed to be the unauthorized practice of law? </w:t>
      </w:r>
    </w:p>
    <w:p w14:paraId="2D805E22" w14:textId="762DA059" w:rsidR="002F54FD" w:rsidRPr="00410A87" w:rsidRDefault="002F54FD" w:rsidP="002F54FD">
      <w:pPr>
        <w:tabs>
          <w:tab w:val="left" w:pos="360"/>
        </w:tabs>
        <w:spacing w:afterLines="160" w:after="384"/>
        <w:ind w:left="720" w:hanging="360"/>
        <w:contextualSpacing/>
        <w:jc w:val="both"/>
        <w:rPr>
          <w:rFonts w:cstheme="minorHAnsi"/>
        </w:rPr>
      </w:pPr>
      <w:r w:rsidRPr="00410A87">
        <w:rPr>
          <w:rFonts w:cstheme="minorHAnsi"/>
          <w:b/>
          <w:bCs/>
        </w:rPr>
        <w:tab/>
        <w:t xml:space="preserve">A. </w:t>
      </w:r>
      <w:r w:rsidRPr="00410A87">
        <w:rPr>
          <w:rFonts w:cstheme="minorHAnsi"/>
        </w:rPr>
        <w:t xml:space="preserve">As noted in </w:t>
      </w:r>
      <w:r w:rsidR="00410A87">
        <w:rPr>
          <w:rFonts w:cstheme="minorHAnsi"/>
        </w:rPr>
        <w:t>the prior question</w:t>
      </w:r>
      <w:r w:rsidRPr="00410A87">
        <w:rPr>
          <w:rFonts w:cstheme="minorHAnsi"/>
        </w:rPr>
        <w:t>,</w:t>
      </w:r>
      <w:r w:rsidRPr="00410A87">
        <w:rPr>
          <w:rFonts w:cstheme="minorHAnsi"/>
          <w:b/>
          <w:bCs/>
        </w:rPr>
        <w:t xml:space="preserve"> </w:t>
      </w:r>
      <w:r w:rsidRPr="00410A87">
        <w:rPr>
          <w:rFonts w:cstheme="minorHAnsi"/>
        </w:rPr>
        <w:t xml:space="preserve">CAMICO intends that coverage will respond to the typical claim we anticipate receiving. Every claim is fact-specific, and the pertinent facts of any claim scenario must be analyzed. As such, each claim would be subject to the policy’s terms and conditions, as well as the </w:t>
      </w:r>
      <w:r w:rsidRPr="00410A87">
        <w:rPr>
          <w:rFonts w:cstheme="minorHAnsi"/>
          <w:b/>
          <w:bCs/>
        </w:rPr>
        <w:t>legal and/or professional standards of care at the time the services were rendered</w:t>
      </w:r>
      <w:r w:rsidRPr="00410A87">
        <w:rPr>
          <w:rFonts w:cstheme="minorHAnsi"/>
        </w:rPr>
        <w:t xml:space="preserve">. Therefore, </w:t>
      </w:r>
      <w:r w:rsidRPr="00410A87">
        <w:rPr>
          <w:rFonts w:cstheme="minorHAnsi"/>
          <w:b/>
          <w:bCs/>
        </w:rPr>
        <w:t>future changes</w:t>
      </w:r>
      <w:r w:rsidRPr="00410A87">
        <w:rPr>
          <w:rFonts w:cstheme="minorHAnsi"/>
        </w:rPr>
        <w:t xml:space="preserve"> in the legal and/or professional standards of care for such services would not be a pertinent consideration in determining coverage. </w:t>
      </w:r>
    </w:p>
    <w:p w14:paraId="30A7FCD8" w14:textId="77777777" w:rsidR="002F54FD" w:rsidRPr="00F0749B" w:rsidRDefault="002F54FD" w:rsidP="00E806A2">
      <w:pPr>
        <w:spacing w:after="0"/>
        <w:ind w:left="720"/>
        <w:rPr>
          <w:rFonts w:ascii="Arial" w:hAnsi="Arial" w:cs="Arial"/>
        </w:rPr>
      </w:pPr>
    </w:p>
    <w:p w14:paraId="6AD5BE41" w14:textId="59B66E64" w:rsidR="002F54FD" w:rsidRPr="00410A87" w:rsidRDefault="002F54FD" w:rsidP="002F54FD">
      <w:pPr>
        <w:rPr>
          <w:rFonts w:cstheme="minorHAnsi"/>
          <w:b/>
          <w:bCs/>
        </w:rPr>
      </w:pPr>
      <w:r w:rsidRPr="00410A87">
        <w:rPr>
          <w:rFonts w:cstheme="minorHAnsi"/>
          <w:b/>
          <w:bCs/>
        </w:rPr>
        <w:t>Q. How does the CAMICO policy respond if there are allegations made against our firm for fraudulent, criminal and/or illegal activity related to CTA services?</w:t>
      </w:r>
    </w:p>
    <w:p w14:paraId="4413EF1E" w14:textId="7BE69B96" w:rsidR="00410A87" w:rsidRPr="00410A87" w:rsidRDefault="00410A87" w:rsidP="00410A87">
      <w:pPr>
        <w:ind w:left="720"/>
        <w:jc w:val="both"/>
        <w:rPr>
          <w:rFonts w:cstheme="minorHAnsi"/>
          <w:shd w:val="clear" w:color="auto" w:fill="FFFFFF"/>
        </w:rPr>
      </w:pPr>
      <w:r w:rsidRPr="00410A87">
        <w:rPr>
          <w:rFonts w:cstheme="minorHAnsi"/>
          <w:b/>
          <w:bCs/>
        </w:rPr>
        <w:t xml:space="preserve">A. </w:t>
      </w:r>
      <w:r w:rsidRPr="00410A87">
        <w:rPr>
          <w:rFonts w:cstheme="minorHAnsi"/>
        </w:rPr>
        <w:t>How the CAMICO policy responds is not unique just to CTA</w:t>
      </w:r>
      <w:r w:rsidR="001C5BB0">
        <w:rPr>
          <w:rFonts w:cstheme="minorHAnsi"/>
        </w:rPr>
        <w:t>-</w:t>
      </w:r>
      <w:r w:rsidRPr="00410A87">
        <w:rPr>
          <w:rFonts w:cstheme="minorHAnsi"/>
        </w:rPr>
        <w:t>related services.</w:t>
      </w:r>
      <w:r w:rsidRPr="00410A87">
        <w:rPr>
          <w:rFonts w:cstheme="minorHAnsi"/>
          <w:b/>
          <w:bCs/>
        </w:rPr>
        <w:t xml:space="preserve"> </w:t>
      </w:r>
      <w:r w:rsidRPr="00410A87">
        <w:rPr>
          <w:rFonts w:cstheme="minorHAnsi"/>
        </w:rPr>
        <w:t>I</w:t>
      </w:r>
      <w:r w:rsidRPr="00410A87">
        <w:rPr>
          <w:rFonts w:cstheme="minorHAnsi"/>
          <w:shd w:val="clear" w:color="auto" w:fill="FFFFFF"/>
        </w:rPr>
        <w:t xml:space="preserve">nsurance companies are under strict regulatory guidelines </w:t>
      </w:r>
      <w:r w:rsidR="0093559D">
        <w:rPr>
          <w:rFonts w:cstheme="minorHAnsi"/>
          <w:shd w:val="clear" w:color="auto" w:fill="FFFFFF"/>
        </w:rPr>
        <w:t>that</w:t>
      </w:r>
      <w:r w:rsidRPr="00410A87">
        <w:rPr>
          <w:rFonts w:cstheme="minorHAnsi"/>
          <w:shd w:val="clear" w:color="auto" w:fill="FFFFFF"/>
        </w:rPr>
        <w:t xml:space="preserve"> typically preclude carriers like CAMICO and others from insuring parties for criminal acts and fraud. As such, professional liability policies, including those for accountants, have exclusions for any claim based on, or arising from or related to, criminal acts or other acts deemed to be fraudulent in nature.</w:t>
      </w:r>
    </w:p>
    <w:p w14:paraId="7D891B62" w14:textId="77777777" w:rsidR="00410A87" w:rsidRPr="00410A87" w:rsidRDefault="00410A87" w:rsidP="00410A87">
      <w:pPr>
        <w:ind w:left="720"/>
        <w:jc w:val="both"/>
        <w:rPr>
          <w:rFonts w:eastAsia="Times New Roman" w:cstheme="minorHAnsi"/>
          <w:color w:val="1E1E1E"/>
        </w:rPr>
      </w:pPr>
      <w:r w:rsidRPr="00410A87">
        <w:rPr>
          <w:rFonts w:eastAsia="Times New Roman" w:cstheme="minorHAnsi"/>
          <w:color w:val="1E1E1E"/>
        </w:rPr>
        <w:t>Regarding defense costs, CAMICO insureds are entitled to legal defense when there is a potential for indemnity coverage, subject to policy terms and conditions. When covered negligent acts are alleged to have occurred during the performance of professional services, CAMICO will provide for your defense, although CAMICO cannot pay damages on your behalf if you admit to or are found guilty of engaging in criminal or fraudulent acts.</w:t>
      </w:r>
    </w:p>
    <w:p w14:paraId="7E9B78A6" w14:textId="77777777" w:rsidR="00410A87" w:rsidRDefault="00410A87" w:rsidP="00B014CC">
      <w:pPr>
        <w:spacing w:after="0"/>
        <w:ind w:left="720"/>
        <w:jc w:val="both"/>
        <w:rPr>
          <w:rFonts w:eastAsia="Times New Roman" w:cstheme="minorHAnsi"/>
          <w:color w:val="1E1E1E"/>
        </w:rPr>
      </w:pPr>
      <w:r w:rsidRPr="00410A87">
        <w:rPr>
          <w:rFonts w:eastAsia="Times New Roman" w:cstheme="minorHAnsi"/>
          <w:color w:val="1E1E1E"/>
        </w:rPr>
        <w:t>If the only allegations against you are uncovered acts, CAMICO will not be able to defend or indemnify you. However, civil complaints that solely allege fraud or criminal activity are uncommon in our decades of defending CPA firms.</w:t>
      </w:r>
    </w:p>
    <w:p w14:paraId="76A84C00" w14:textId="77777777" w:rsidR="00C07493" w:rsidRDefault="00C07493" w:rsidP="00C07493">
      <w:pPr>
        <w:spacing w:after="0"/>
        <w:ind w:left="720"/>
        <w:jc w:val="both"/>
        <w:rPr>
          <w:rFonts w:eastAsia="Times New Roman" w:cstheme="minorHAnsi"/>
          <w:color w:val="1E1E1E"/>
        </w:rPr>
      </w:pPr>
    </w:p>
    <w:p w14:paraId="3CAB7A08" w14:textId="77777777" w:rsidR="00C07493" w:rsidRPr="00410A87" w:rsidRDefault="00C07493" w:rsidP="00B014CC">
      <w:pPr>
        <w:spacing w:after="0"/>
        <w:ind w:left="720"/>
        <w:jc w:val="both"/>
        <w:rPr>
          <w:rFonts w:eastAsia="Times New Roman" w:cstheme="minorHAnsi"/>
          <w:color w:val="1E1E1E"/>
        </w:rPr>
      </w:pPr>
    </w:p>
    <w:p w14:paraId="185B2DAF" w14:textId="0009FBB4" w:rsidR="00BF66AA" w:rsidRPr="00C063E7" w:rsidRDefault="000E589F" w:rsidP="006F671C">
      <w:pPr>
        <w:pStyle w:val="ListParagraph"/>
        <w:ind w:left="0"/>
        <w:rPr>
          <w:rFonts w:cstheme="minorHAnsi"/>
          <w:b/>
          <w:bCs/>
          <w:i/>
          <w:iCs/>
          <w:sz w:val="28"/>
          <w:szCs w:val="28"/>
          <w:u w:val="single"/>
        </w:rPr>
      </w:pPr>
      <w:r w:rsidRPr="00C063E7">
        <w:rPr>
          <w:rFonts w:cstheme="minorHAnsi"/>
          <w:b/>
          <w:bCs/>
          <w:i/>
          <w:iCs/>
          <w:sz w:val="28"/>
          <w:szCs w:val="28"/>
          <w:u w:val="single"/>
        </w:rPr>
        <w:t xml:space="preserve">Section 4: </w:t>
      </w:r>
      <w:r w:rsidR="00BF66AA" w:rsidRPr="00C063E7">
        <w:rPr>
          <w:rFonts w:cstheme="minorHAnsi"/>
          <w:b/>
          <w:bCs/>
          <w:i/>
          <w:iCs/>
          <w:sz w:val="28"/>
          <w:szCs w:val="28"/>
          <w:u w:val="single"/>
        </w:rPr>
        <w:t>Additional Resources</w:t>
      </w:r>
    </w:p>
    <w:p w14:paraId="27C6A946" w14:textId="56672A9B" w:rsidR="00DF0CBA" w:rsidRPr="006F671C" w:rsidRDefault="00DF0CBA" w:rsidP="00D27FA3">
      <w:pPr>
        <w:rPr>
          <w:rFonts w:cstheme="minorHAnsi"/>
          <w:b/>
          <w:bCs/>
        </w:rPr>
      </w:pPr>
      <w:r w:rsidRPr="006F671C">
        <w:rPr>
          <w:rFonts w:cstheme="minorHAnsi"/>
          <w:b/>
          <w:bCs/>
        </w:rPr>
        <w:t>Q.</w:t>
      </w:r>
      <w:r w:rsidR="00D27FA3">
        <w:rPr>
          <w:rFonts w:cstheme="minorHAnsi"/>
          <w:b/>
          <w:bCs/>
        </w:rPr>
        <w:t xml:space="preserve"> </w:t>
      </w:r>
      <w:r w:rsidR="00BF66AA" w:rsidRPr="006F671C">
        <w:rPr>
          <w:rFonts w:cstheme="minorHAnsi"/>
          <w:b/>
          <w:bCs/>
        </w:rPr>
        <w:t>Where can I find additional information?</w:t>
      </w:r>
      <w:r w:rsidRPr="006F671C">
        <w:rPr>
          <w:rFonts w:cstheme="minorHAnsi"/>
          <w:b/>
          <w:bCs/>
        </w:rPr>
        <w:t xml:space="preserve"> </w:t>
      </w:r>
    </w:p>
    <w:p w14:paraId="24D5A494" w14:textId="38A06538" w:rsidR="00242E67" w:rsidRDefault="00242E67" w:rsidP="005079AF">
      <w:pPr>
        <w:pStyle w:val="ListParagraph"/>
        <w:rPr>
          <w:rFonts w:cstheme="minorHAnsi"/>
        </w:rPr>
      </w:pPr>
      <w:r w:rsidRPr="006F671C">
        <w:rPr>
          <w:rFonts w:cstheme="minorHAnsi"/>
          <w:b/>
          <w:bCs/>
        </w:rPr>
        <w:t>A.</w:t>
      </w:r>
      <w:r w:rsidR="005079AF">
        <w:rPr>
          <w:rFonts w:cstheme="minorHAnsi"/>
          <w:b/>
          <w:bCs/>
        </w:rPr>
        <w:t xml:space="preserve"> </w:t>
      </w:r>
      <w:r w:rsidR="00D1593D" w:rsidRPr="006F671C">
        <w:rPr>
          <w:rFonts w:cstheme="minorHAnsi"/>
        </w:rPr>
        <w:t>FinCEN has published</w:t>
      </w:r>
      <w:r w:rsidR="00462A6D" w:rsidRPr="006F671C">
        <w:rPr>
          <w:rFonts w:cstheme="minorHAnsi"/>
        </w:rPr>
        <w:t xml:space="preserve"> resources and materials, including</w:t>
      </w:r>
      <w:r w:rsidR="00D1593D" w:rsidRPr="006F671C">
        <w:rPr>
          <w:rFonts w:cstheme="minorHAnsi"/>
        </w:rPr>
        <w:t xml:space="preserve"> a </w:t>
      </w:r>
      <w:r w:rsidR="00D1593D" w:rsidRPr="00AE30CA">
        <w:rPr>
          <w:rFonts w:cstheme="minorHAnsi"/>
          <w:i/>
          <w:iCs/>
        </w:rPr>
        <w:t>Small Entity Compliance Guide</w:t>
      </w:r>
      <w:r w:rsidR="00D1593D" w:rsidRPr="006F671C">
        <w:rPr>
          <w:rFonts w:cstheme="minorHAnsi"/>
        </w:rPr>
        <w:t xml:space="preserve"> and FAQs.</w:t>
      </w:r>
      <w:r w:rsidR="00896E74" w:rsidRPr="006F671C">
        <w:rPr>
          <w:rFonts w:cstheme="minorHAnsi"/>
        </w:rPr>
        <w:t xml:space="preserve"> </w:t>
      </w:r>
      <w:r w:rsidR="00C20675" w:rsidRPr="006F671C">
        <w:rPr>
          <w:rFonts w:cstheme="minorHAnsi"/>
        </w:rPr>
        <w:t>Refer to select links below:</w:t>
      </w:r>
    </w:p>
    <w:p w14:paraId="31BE9BBA" w14:textId="77777777" w:rsidR="005079AF" w:rsidRPr="006F671C" w:rsidRDefault="005079AF" w:rsidP="0059611A">
      <w:pPr>
        <w:pStyle w:val="ListParagraph"/>
        <w:rPr>
          <w:rFonts w:cstheme="minorHAnsi"/>
        </w:rPr>
      </w:pPr>
    </w:p>
    <w:p w14:paraId="19F8EBCE" w14:textId="624F9C04" w:rsidR="007259C4" w:rsidRPr="00C75C5B" w:rsidRDefault="007259C4" w:rsidP="0059611A">
      <w:pPr>
        <w:pStyle w:val="ListParagraph"/>
      </w:pPr>
      <w:r w:rsidRPr="00C75C5B">
        <w:t xml:space="preserve">Beneficial Ownership Information Reporting Frequently Asked Questions | </w:t>
      </w:r>
      <w:hyperlink r:id="rId15" w:history="1">
        <w:r w:rsidRPr="00C75C5B">
          <w:rPr>
            <w:rStyle w:val="Hyperlink"/>
          </w:rPr>
          <w:t>www.fincen.gov/boi-faqs</w:t>
        </w:r>
      </w:hyperlink>
      <w:r w:rsidRPr="00C75C5B">
        <w:t xml:space="preserve"> </w:t>
      </w:r>
    </w:p>
    <w:p w14:paraId="6BE24F2E" w14:textId="3DA5BAB8" w:rsidR="00896E74" w:rsidRPr="00C75C5B" w:rsidRDefault="00D06125" w:rsidP="0059611A">
      <w:pPr>
        <w:pStyle w:val="ListParagraph"/>
        <w:rPr>
          <w:rFonts w:cstheme="minorHAnsi"/>
          <w:color w:val="4472C4" w:themeColor="accent1"/>
        </w:rPr>
      </w:pPr>
      <w:hyperlink r:id="rId16" w:history="1">
        <w:r w:rsidR="00896E74" w:rsidRPr="00C75C5B">
          <w:rPr>
            <w:rStyle w:val="Hyperlink"/>
            <w:rFonts w:cstheme="minorHAnsi"/>
            <w:color w:val="4472C4" w:themeColor="accent1"/>
          </w:rPr>
          <w:t>Small Business Resources | FinCEN.gov</w:t>
        </w:r>
      </w:hyperlink>
    </w:p>
    <w:p w14:paraId="4C6EEF52" w14:textId="77777777" w:rsidR="00896E74" w:rsidRPr="00C75C5B" w:rsidRDefault="00D06125" w:rsidP="0059611A">
      <w:pPr>
        <w:pStyle w:val="ListParagraph"/>
        <w:spacing w:afterLines="160" w:after="384"/>
        <w:rPr>
          <w:rFonts w:cstheme="minorHAnsi"/>
          <w:color w:val="4472C4" w:themeColor="accent1"/>
        </w:rPr>
      </w:pPr>
      <w:hyperlink r:id="rId17" w:history="1">
        <w:r w:rsidR="00896E74" w:rsidRPr="00C75C5B">
          <w:rPr>
            <w:rStyle w:val="Hyperlink"/>
            <w:rFonts w:cstheme="minorHAnsi"/>
            <w:color w:val="4472C4" w:themeColor="accent1"/>
          </w:rPr>
          <w:t>Reference Materials | FinCEN.gov</w:t>
        </w:r>
      </w:hyperlink>
    </w:p>
    <w:p w14:paraId="09B5F2F8" w14:textId="31275183" w:rsidR="00896E74" w:rsidRPr="00C75C5B" w:rsidRDefault="00D06125" w:rsidP="0059611A">
      <w:pPr>
        <w:pStyle w:val="ListParagraph"/>
        <w:spacing w:afterLines="160" w:after="384"/>
        <w:rPr>
          <w:rStyle w:val="Hyperlink"/>
          <w:rFonts w:cstheme="minorHAnsi"/>
          <w:color w:val="4472C4" w:themeColor="accent1"/>
        </w:rPr>
      </w:pPr>
      <w:hyperlink r:id="rId18" w:history="1">
        <w:r w:rsidR="00896E74" w:rsidRPr="00C75C5B">
          <w:rPr>
            <w:rStyle w:val="Hyperlink"/>
            <w:rFonts w:cstheme="minorHAnsi"/>
            <w:color w:val="4472C4" w:themeColor="accent1"/>
          </w:rPr>
          <w:t>BOI Newsroom | FinCEN.gov</w:t>
        </w:r>
      </w:hyperlink>
    </w:p>
    <w:p w14:paraId="7802B1BD" w14:textId="77777777" w:rsidR="00CB09E1" w:rsidRPr="00C75C5B" w:rsidRDefault="00CB09E1" w:rsidP="0059611A">
      <w:pPr>
        <w:pStyle w:val="ListParagraph"/>
        <w:spacing w:afterLines="160" w:after="384"/>
        <w:rPr>
          <w:color w:val="4472C4" w:themeColor="accent1"/>
        </w:rPr>
      </w:pPr>
    </w:p>
    <w:p w14:paraId="5D77DD73" w14:textId="7B5255A2" w:rsidR="00CB09E1" w:rsidRPr="00C75C5B" w:rsidRDefault="00317BA7" w:rsidP="0059611A">
      <w:pPr>
        <w:pStyle w:val="ListParagraph"/>
        <w:spacing w:afterLines="160" w:after="384"/>
      </w:pPr>
      <w:r w:rsidRPr="00C75C5B">
        <w:t>T</w:t>
      </w:r>
      <w:r w:rsidR="00CB09E1" w:rsidRPr="00C75C5B">
        <w:t xml:space="preserve">he AICPA </w:t>
      </w:r>
      <w:r w:rsidRPr="00C75C5B">
        <w:t xml:space="preserve">also </w:t>
      </w:r>
      <w:r w:rsidR="00CB09E1" w:rsidRPr="00C75C5B">
        <w:t>has some resources available:</w:t>
      </w:r>
    </w:p>
    <w:p w14:paraId="34324293" w14:textId="1A69874A" w:rsidR="00896E74" w:rsidRPr="00CB09E1" w:rsidRDefault="00D06125" w:rsidP="0059611A">
      <w:pPr>
        <w:pStyle w:val="ListParagraph"/>
        <w:spacing w:afterLines="160" w:after="384"/>
        <w:rPr>
          <w:color w:val="4472C4" w:themeColor="accent1"/>
        </w:rPr>
      </w:pPr>
      <w:hyperlink r:id="rId19" w:history="1">
        <w:r w:rsidR="00F52A23" w:rsidRPr="00C75C5B">
          <w:rPr>
            <w:color w:val="4472C4" w:themeColor="accent1"/>
            <w:u w:val="single"/>
          </w:rPr>
          <w:t>Beneficial ownership information (BOI) reporting | Resources | AICPA &amp; CIMA (aicpa-cima.com)</w:t>
        </w:r>
      </w:hyperlink>
    </w:p>
    <w:p w14:paraId="2DA6A7F3" w14:textId="77777777" w:rsidR="001F4EDF" w:rsidRPr="006F671C" w:rsidRDefault="001F4EDF" w:rsidP="006F671C">
      <w:pPr>
        <w:pStyle w:val="ListParagraph"/>
        <w:spacing w:afterLines="160" w:after="384"/>
        <w:ind w:left="360"/>
        <w:rPr>
          <w:rFonts w:cstheme="minorHAnsi"/>
        </w:rPr>
      </w:pPr>
    </w:p>
    <w:sectPr w:rsidR="001F4EDF" w:rsidRPr="006F671C" w:rsidSect="00D06125">
      <w:footerReference w:type="default" r:id="rId20"/>
      <w:pgSz w:w="12240" w:h="15840" w:code="1"/>
      <w:pgMar w:top="1008" w:right="1080" w:bottom="1152"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0D107" w14:textId="77777777" w:rsidR="0069559D" w:rsidRDefault="0069559D" w:rsidP="00257334">
      <w:pPr>
        <w:spacing w:after="0" w:line="240" w:lineRule="auto"/>
      </w:pPr>
      <w:r>
        <w:separator/>
      </w:r>
    </w:p>
  </w:endnote>
  <w:endnote w:type="continuationSeparator" w:id="0">
    <w:p w14:paraId="1B2130BE" w14:textId="77777777" w:rsidR="0069559D" w:rsidRDefault="0069559D" w:rsidP="0025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0F8B" w14:textId="2C1A4B86" w:rsidR="00021091" w:rsidRDefault="00021091" w:rsidP="00184C18">
    <w:pPr>
      <w:pStyle w:val="Footer"/>
      <w:tabs>
        <w:tab w:val="clear" w:pos="9360"/>
        <w:tab w:val="right" w:pos="10080"/>
      </w:tabs>
      <w:rPr>
        <w:sz w:val="20"/>
        <w:szCs w:val="20"/>
      </w:rPr>
    </w:pPr>
    <w:r w:rsidRPr="004836CD">
      <w:rPr>
        <w:sz w:val="20"/>
        <w:szCs w:val="20"/>
      </w:rPr>
      <w:t>© CAMICO. All rights reserved.</w:t>
    </w:r>
    <w:r w:rsidR="00F4590E">
      <w:rPr>
        <w:sz w:val="20"/>
        <w:szCs w:val="20"/>
      </w:rPr>
      <w:tab/>
    </w:r>
    <w:r w:rsidR="00F4590E">
      <w:rPr>
        <w:sz w:val="20"/>
        <w:szCs w:val="20"/>
      </w:rPr>
      <w:tab/>
      <w:t xml:space="preserve">Page </w:t>
    </w:r>
    <w:r w:rsidR="00F4590E">
      <w:rPr>
        <w:sz w:val="20"/>
        <w:szCs w:val="20"/>
      </w:rPr>
      <w:fldChar w:fldCharType="begin"/>
    </w:r>
    <w:r w:rsidR="00F4590E">
      <w:rPr>
        <w:sz w:val="20"/>
        <w:szCs w:val="20"/>
      </w:rPr>
      <w:instrText xml:space="preserve"> PAGE   \* MERGEFORMAT </w:instrText>
    </w:r>
    <w:r w:rsidR="00F4590E">
      <w:rPr>
        <w:sz w:val="20"/>
        <w:szCs w:val="20"/>
      </w:rPr>
      <w:fldChar w:fldCharType="separate"/>
    </w:r>
    <w:r w:rsidR="00E51182">
      <w:rPr>
        <w:noProof/>
        <w:sz w:val="20"/>
        <w:szCs w:val="20"/>
      </w:rPr>
      <w:t>1</w:t>
    </w:r>
    <w:r w:rsidR="00F4590E">
      <w:rPr>
        <w:sz w:val="20"/>
        <w:szCs w:val="20"/>
      </w:rPr>
      <w:fldChar w:fldCharType="end"/>
    </w:r>
    <w:r w:rsidR="00F4590E">
      <w:rPr>
        <w:sz w:val="20"/>
        <w:szCs w:val="20"/>
      </w:rPr>
      <w:t xml:space="preserve"> of </w:t>
    </w:r>
    <w:r w:rsidR="00F4590E">
      <w:rPr>
        <w:sz w:val="20"/>
        <w:szCs w:val="20"/>
      </w:rPr>
      <w:fldChar w:fldCharType="begin"/>
    </w:r>
    <w:r w:rsidR="00F4590E">
      <w:rPr>
        <w:sz w:val="20"/>
        <w:szCs w:val="20"/>
      </w:rPr>
      <w:instrText xml:space="preserve"> NUMPAGES   \* MERGEFORMAT </w:instrText>
    </w:r>
    <w:r w:rsidR="00F4590E">
      <w:rPr>
        <w:sz w:val="20"/>
        <w:szCs w:val="20"/>
      </w:rPr>
      <w:fldChar w:fldCharType="separate"/>
    </w:r>
    <w:r w:rsidR="00E51182">
      <w:rPr>
        <w:noProof/>
        <w:sz w:val="20"/>
        <w:szCs w:val="20"/>
      </w:rPr>
      <w:t>9</w:t>
    </w:r>
    <w:r w:rsidR="00F4590E">
      <w:rPr>
        <w:sz w:val="20"/>
        <w:szCs w:val="20"/>
      </w:rPr>
      <w:fldChar w:fldCharType="end"/>
    </w:r>
  </w:p>
  <w:p w14:paraId="504214EC" w14:textId="508996FE" w:rsidR="00D218AA" w:rsidRPr="004B3450" w:rsidRDefault="00F065E0" w:rsidP="0043082B">
    <w:pPr>
      <w:pStyle w:val="Footer"/>
      <w:tabs>
        <w:tab w:val="clear" w:pos="9360"/>
        <w:tab w:val="right" w:pos="10080"/>
      </w:tabs>
      <w:rPr>
        <w:sz w:val="20"/>
        <w:szCs w:val="20"/>
      </w:rPr>
    </w:pPr>
    <w:r>
      <w:rPr>
        <w:sz w:val="20"/>
        <w:szCs w:val="20"/>
      </w:rPr>
      <w:t>Updated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5021A" w14:textId="77777777" w:rsidR="0069559D" w:rsidRDefault="0069559D" w:rsidP="00257334">
      <w:pPr>
        <w:spacing w:after="0" w:line="240" w:lineRule="auto"/>
      </w:pPr>
      <w:r>
        <w:separator/>
      </w:r>
    </w:p>
  </w:footnote>
  <w:footnote w:type="continuationSeparator" w:id="0">
    <w:p w14:paraId="46446D9F" w14:textId="77777777" w:rsidR="0069559D" w:rsidRDefault="0069559D" w:rsidP="00257334">
      <w:pPr>
        <w:spacing w:after="0" w:line="240" w:lineRule="auto"/>
      </w:pPr>
      <w:r>
        <w:continuationSeparator/>
      </w:r>
    </w:p>
  </w:footnote>
  <w:footnote w:id="1">
    <w:p w14:paraId="36DFA6B5" w14:textId="1589EAAB" w:rsidR="007259C4" w:rsidRPr="000822E9" w:rsidRDefault="007259C4" w:rsidP="00D27FA3">
      <w:pPr>
        <w:spacing w:after="0" w:line="240" w:lineRule="auto"/>
        <w:rPr>
          <w:sz w:val="20"/>
          <w:szCs w:val="20"/>
        </w:rPr>
      </w:pPr>
      <w:r>
        <w:rPr>
          <w:rStyle w:val="FootnoteReference"/>
        </w:rPr>
        <w:footnoteRef/>
      </w:r>
      <w:r>
        <w:t xml:space="preserve"> </w:t>
      </w:r>
      <w:r w:rsidRPr="0028608A">
        <w:rPr>
          <w:rFonts w:cstheme="minorHAnsi"/>
          <w:sz w:val="20"/>
          <w:szCs w:val="20"/>
        </w:rPr>
        <w:t>For additional information regarding the beneficial ownership reporting requirements under the CTA, refer to FinCEN’s Frequently Asked Questions document (</w:t>
      </w:r>
      <w:hyperlink r:id="rId1" w:history="1">
        <w:r w:rsidRPr="0028608A">
          <w:rPr>
            <w:rStyle w:val="Hyperlink"/>
            <w:rFonts w:cstheme="minorHAnsi"/>
            <w:sz w:val="20"/>
            <w:szCs w:val="20"/>
          </w:rPr>
          <w:t>https://www.fincen.gov/boi-faqs</w:t>
        </w:r>
      </w:hyperlink>
      <w:r w:rsidRPr="0028608A">
        <w:rPr>
          <w:rFonts w:cstheme="minorHAnsi"/>
          <w:sz w:val="20"/>
          <w:szCs w:val="20"/>
        </w:rPr>
        <w:t>) or to the FinCEN Reference Materials (</w:t>
      </w:r>
      <w:hyperlink r:id="rId2" w:history="1">
        <w:r w:rsidRPr="0028608A">
          <w:rPr>
            <w:rStyle w:val="Hyperlink"/>
            <w:rFonts w:cstheme="minorHAnsi"/>
            <w:sz w:val="20"/>
            <w:szCs w:val="20"/>
          </w:rPr>
          <w:t>https://www.fincen.gov/boi/Reference-materials</w:t>
        </w:r>
      </w:hyperlink>
      <w:r w:rsidRPr="0028608A">
        <w:rPr>
          <w:rFonts w:cstheme="minorHAnsi"/>
          <w:sz w:val="20"/>
          <w:szCs w:val="20"/>
        </w:rPr>
        <w:t>).</w:t>
      </w:r>
    </w:p>
  </w:footnote>
  <w:footnote w:id="2">
    <w:p w14:paraId="264B9945" w14:textId="24AA4396" w:rsidR="0039139B" w:rsidRDefault="0039139B">
      <w:pPr>
        <w:pStyle w:val="FootnoteText"/>
      </w:pPr>
      <w:r>
        <w:rPr>
          <w:rStyle w:val="FootnoteReference"/>
        </w:rPr>
        <w:footnoteRef/>
      </w:r>
      <w:r>
        <w:t xml:space="preserve"> The information contained in this FAQ is based on information promulgated as of the date of this document. </w:t>
      </w:r>
    </w:p>
  </w:footnote>
  <w:footnote w:id="3">
    <w:p w14:paraId="665D0646" w14:textId="5DD3B81B" w:rsidR="00CE0086" w:rsidRPr="0059611A" w:rsidRDefault="00CE0086" w:rsidP="00CE0086">
      <w:pPr>
        <w:shd w:val="clear" w:color="auto" w:fill="FFFFFF"/>
        <w:autoSpaceDE w:val="0"/>
        <w:autoSpaceDN w:val="0"/>
        <w:adjustRightInd w:val="0"/>
        <w:spacing w:after="0" w:line="240" w:lineRule="auto"/>
        <w:rPr>
          <w:rFonts w:cstheme="minorHAnsi"/>
          <w:color w:val="202124"/>
          <w:sz w:val="20"/>
          <w:szCs w:val="20"/>
          <w:shd w:val="clear" w:color="auto" w:fill="FFFFFF"/>
        </w:rPr>
      </w:pPr>
      <w:r>
        <w:rPr>
          <w:rStyle w:val="FootnoteReference"/>
        </w:rPr>
        <w:footnoteRef/>
      </w:r>
      <w:r>
        <w:t xml:space="preserve"> </w:t>
      </w:r>
      <w:r w:rsidRPr="0059611A">
        <w:rPr>
          <w:sz w:val="20"/>
          <w:szCs w:val="20"/>
        </w:rPr>
        <w:t xml:space="preserve">This </w:t>
      </w:r>
      <w:r w:rsidR="00930311" w:rsidRPr="0059611A">
        <w:rPr>
          <w:i/>
          <w:iCs/>
          <w:sz w:val="20"/>
          <w:szCs w:val="20"/>
        </w:rPr>
        <w:t>Background Information</w:t>
      </w:r>
      <w:r w:rsidR="00930311" w:rsidRPr="0059611A">
        <w:rPr>
          <w:sz w:val="20"/>
          <w:szCs w:val="20"/>
        </w:rPr>
        <w:t xml:space="preserve"> </w:t>
      </w:r>
      <w:r w:rsidRPr="0059611A">
        <w:rPr>
          <w:sz w:val="20"/>
          <w:szCs w:val="20"/>
        </w:rPr>
        <w:t xml:space="preserve">section is a high-level overview of </w:t>
      </w:r>
      <w:r w:rsidR="00B328D8" w:rsidRPr="0059611A">
        <w:rPr>
          <w:sz w:val="20"/>
          <w:szCs w:val="20"/>
        </w:rPr>
        <w:t>a few key provisions of the</w:t>
      </w:r>
      <w:r w:rsidRPr="0059611A">
        <w:rPr>
          <w:sz w:val="20"/>
          <w:szCs w:val="20"/>
        </w:rPr>
        <w:t xml:space="preserve"> </w:t>
      </w:r>
      <w:r w:rsidR="00930311" w:rsidRPr="0059611A">
        <w:rPr>
          <w:sz w:val="20"/>
          <w:szCs w:val="20"/>
        </w:rPr>
        <w:t xml:space="preserve">beneficial ownership </w:t>
      </w:r>
      <w:r w:rsidRPr="0059611A">
        <w:rPr>
          <w:sz w:val="20"/>
          <w:szCs w:val="20"/>
        </w:rPr>
        <w:t>reporting requirements under the Corporate Transparency Act and as such is NOT intended to be all-inclusive. CAMICO strongly recommends that CPAs r</w:t>
      </w:r>
      <w:r w:rsidRPr="0059611A">
        <w:rPr>
          <w:rFonts w:cstheme="minorHAnsi"/>
          <w:color w:val="202124"/>
          <w:sz w:val="20"/>
          <w:szCs w:val="20"/>
          <w:shd w:val="clear" w:color="auto" w:fill="FFFFFF"/>
        </w:rPr>
        <w:t xml:space="preserve">efer </w:t>
      </w:r>
      <w:r w:rsidRPr="00C75C5B">
        <w:rPr>
          <w:rFonts w:cstheme="minorHAnsi"/>
          <w:color w:val="202124"/>
          <w:sz w:val="20"/>
          <w:szCs w:val="20"/>
          <w:shd w:val="clear" w:color="auto" w:fill="FFFFFF"/>
        </w:rPr>
        <w:t xml:space="preserve">to </w:t>
      </w:r>
      <w:hyperlink r:id="rId3" w:history="1">
        <w:r w:rsidR="0059611A" w:rsidRPr="00C75C5B">
          <w:rPr>
            <w:rStyle w:val="Hyperlink"/>
            <w:rFonts w:cstheme="minorHAnsi"/>
            <w:sz w:val="20"/>
            <w:szCs w:val="20"/>
          </w:rPr>
          <w:t>Reference Materials | FinCEN.gov</w:t>
        </w:r>
      </w:hyperlink>
      <w:r w:rsidRPr="00C75C5B">
        <w:rPr>
          <w:rFonts w:cstheme="minorHAnsi"/>
          <w:sz w:val="20"/>
          <w:szCs w:val="20"/>
        </w:rPr>
        <w:t xml:space="preserve"> for additional information</w:t>
      </w:r>
      <w:r w:rsidRPr="0059611A">
        <w:rPr>
          <w:rFonts w:cstheme="minorHAnsi"/>
          <w:sz w:val="20"/>
          <w:szCs w:val="20"/>
        </w:rPr>
        <w:t xml:space="preserve"> and specific requirements for compliance under the rules as </w:t>
      </w:r>
      <w:r w:rsidR="00930311" w:rsidRPr="0059611A">
        <w:rPr>
          <w:rFonts w:cstheme="minorHAnsi"/>
          <w:sz w:val="20"/>
          <w:szCs w:val="20"/>
        </w:rPr>
        <w:t>promulgated</w:t>
      </w:r>
      <w:r w:rsidRPr="0059611A">
        <w:rPr>
          <w:rFonts w:cstheme="minorHAnsi"/>
          <w:sz w:val="20"/>
          <w:szCs w:val="20"/>
        </w:rPr>
        <w:t xml:space="preserve">. </w:t>
      </w:r>
    </w:p>
    <w:p w14:paraId="2760CD8A" w14:textId="19C69EC0" w:rsidR="00CE0086" w:rsidRPr="0059611A" w:rsidRDefault="00CE0086">
      <w:pPr>
        <w:pStyle w:val="FootnoteText"/>
      </w:pPr>
    </w:p>
  </w:footnote>
  <w:footnote w:id="4">
    <w:p w14:paraId="52254A81" w14:textId="35844564" w:rsidR="00A01446" w:rsidRDefault="00A01446">
      <w:pPr>
        <w:pStyle w:val="FootnoteText"/>
      </w:pPr>
      <w:r>
        <w:rPr>
          <w:rStyle w:val="FootnoteReference"/>
        </w:rPr>
        <w:footnoteRef/>
      </w:r>
      <w:r>
        <w:t xml:space="preserve"> A </w:t>
      </w:r>
      <w:r w:rsidRPr="00A01446">
        <w:rPr>
          <w:i/>
          <w:iCs/>
        </w:rPr>
        <w:t>Company Applicant</w:t>
      </w:r>
      <w:r>
        <w:t xml:space="preserve"> </w:t>
      </w:r>
      <w:r>
        <w:rPr>
          <w:rFonts w:cstheme="minorHAnsi"/>
          <w:color w:val="202124"/>
          <w:shd w:val="clear" w:color="auto" w:fill="FFFFFF"/>
        </w:rPr>
        <w:t xml:space="preserve">is the individual who directly files the document that creates or registers </w:t>
      </w:r>
      <w:r w:rsidR="00481975">
        <w:rPr>
          <w:rFonts w:cstheme="minorHAnsi"/>
          <w:color w:val="202124"/>
          <w:shd w:val="clear" w:color="auto" w:fill="FFFFFF"/>
        </w:rPr>
        <w:t xml:space="preserve">a </w:t>
      </w:r>
      <w:r>
        <w:rPr>
          <w:rFonts w:cstheme="minorHAnsi"/>
          <w:color w:val="202124"/>
          <w:shd w:val="clear" w:color="auto" w:fill="FFFFFF"/>
        </w:rPr>
        <w:t xml:space="preserve">company. </w:t>
      </w:r>
      <w:r w:rsidRPr="006F671C">
        <w:rPr>
          <w:rFonts w:cstheme="minorHAnsi"/>
          <w:color w:val="202124"/>
          <w:shd w:val="clear" w:color="auto" w:fill="FFFFFF"/>
        </w:rPr>
        <w:t xml:space="preserve">Refer to </w:t>
      </w:r>
      <w:hyperlink r:id="rId4" w:history="1">
        <w:r w:rsidRPr="00C75C5B">
          <w:rPr>
            <w:rStyle w:val="Hyperlink"/>
            <w:rFonts w:cstheme="minorHAnsi"/>
          </w:rPr>
          <w:t>Reference Materials | FinCEN.gov</w:t>
        </w:r>
      </w:hyperlink>
      <w:r w:rsidRPr="00C75C5B">
        <w:rPr>
          <w:rFonts w:cstheme="minorHAnsi"/>
        </w:rPr>
        <w:t xml:space="preserve"> for detailed information.</w:t>
      </w:r>
    </w:p>
  </w:footnote>
  <w:footnote w:id="5">
    <w:p w14:paraId="5CFFBE8C" w14:textId="5343AA70" w:rsidR="00CC40D4" w:rsidRDefault="00CC40D4">
      <w:pPr>
        <w:pStyle w:val="FootnoteText"/>
      </w:pPr>
      <w:r>
        <w:rPr>
          <w:rStyle w:val="FootnoteReference"/>
        </w:rPr>
        <w:footnoteRef/>
      </w:r>
      <w:r>
        <w:t xml:space="preserve"> </w:t>
      </w:r>
      <w:r w:rsidRPr="00A1326E">
        <w:rPr>
          <w:rFonts w:cstheme="minorHAnsi"/>
        </w:rPr>
        <w:t xml:space="preserve">FinCEN issued a final rule on November 29, 2023, extending the deadline for companies </w:t>
      </w:r>
      <w:r w:rsidRPr="00902546">
        <w:rPr>
          <w:rFonts w:cstheme="minorHAnsi"/>
          <w:color w:val="444444"/>
          <w:shd w:val="clear" w:color="auto" w:fill="FFFFFF"/>
        </w:rPr>
        <w:t>created or registered in 2024 to file initial beneficial ownership information (BOI) reports to 90 calendar days</w:t>
      </w:r>
      <w:r>
        <w:rPr>
          <w:rFonts w:cstheme="minorHAnsi"/>
          <w:color w:val="444444"/>
          <w:shd w:val="clear" w:color="auto" w:fill="FFFFFF"/>
        </w:rPr>
        <w:t xml:space="preserve"> after their formation or registration (was originally 30 days).</w:t>
      </w:r>
    </w:p>
  </w:footnote>
  <w:footnote w:id="6">
    <w:p w14:paraId="50BA3CA0" w14:textId="62BD19FC" w:rsidR="00A71546" w:rsidRDefault="00A71546">
      <w:pPr>
        <w:pStyle w:val="FootnoteText"/>
      </w:pPr>
      <w:r>
        <w:rPr>
          <w:rStyle w:val="FootnoteReference"/>
        </w:rPr>
        <w:footnoteRef/>
      </w:r>
      <w:r>
        <w:t xml:space="preserve"> Under the current regulations as promulgated, updated reports will be required when there is a change to previously reported information about the </w:t>
      </w:r>
      <w:r w:rsidR="00BA7BC4">
        <w:t xml:space="preserve">Reporting Company </w:t>
      </w:r>
      <w:r>
        <w:t xml:space="preserve">and/or its beneficial owners. </w:t>
      </w:r>
    </w:p>
  </w:footnote>
  <w:footnote w:id="7">
    <w:p w14:paraId="62751B41" w14:textId="2FA23080" w:rsidR="00150AEF" w:rsidRDefault="00150AEF" w:rsidP="00150AEF">
      <w:pPr>
        <w:pStyle w:val="FootnoteText"/>
      </w:pPr>
      <w:r>
        <w:rPr>
          <w:rStyle w:val="FootnoteReference"/>
        </w:rPr>
        <w:footnoteRef/>
      </w:r>
      <w:r>
        <w:t xml:space="preserve"> Under the current regulations as promulgated, </w:t>
      </w:r>
      <w:r w:rsidR="00773B5D">
        <w:t>corrected</w:t>
      </w:r>
      <w:r>
        <w:t xml:space="preserve"> reports will be required when previously reported information </w:t>
      </w:r>
      <w:r w:rsidR="00773B5D">
        <w:t xml:space="preserve">about the </w:t>
      </w:r>
      <w:r w:rsidR="00BA7BC4">
        <w:t>Reporting Company</w:t>
      </w:r>
      <w:r w:rsidR="00773B5D">
        <w:t xml:space="preserve">, its beneficial owners, or its </w:t>
      </w:r>
      <w:r w:rsidR="0059611A">
        <w:t xml:space="preserve">Company Applicants </w:t>
      </w:r>
      <w:r w:rsidR="00773B5D">
        <w:t>was inaccurate</w:t>
      </w:r>
      <w:r>
        <w:t xml:space="preserve">. </w:t>
      </w:r>
    </w:p>
  </w:footnote>
  <w:footnote w:id="8">
    <w:p w14:paraId="4FC7CB32" w14:textId="1369E011" w:rsidR="003E1D8B" w:rsidRPr="003E1D8B" w:rsidRDefault="003E1D8B">
      <w:pPr>
        <w:pStyle w:val="FootnoteText"/>
        <w:rPr>
          <w:rFonts w:cstheme="minorHAnsi"/>
        </w:rPr>
      </w:pPr>
      <w:r w:rsidRPr="003E1D8B">
        <w:rPr>
          <w:rStyle w:val="FootnoteReference"/>
          <w:rFonts w:cstheme="minorHAnsi"/>
        </w:rPr>
        <w:footnoteRef/>
      </w:r>
      <w:r w:rsidRPr="003E1D8B">
        <w:rPr>
          <w:rFonts w:cstheme="minorHAnsi"/>
        </w:rPr>
        <w:t xml:space="preserve"> </w:t>
      </w:r>
      <w:r w:rsidRPr="003E1D8B">
        <w:rPr>
          <w:rFonts w:cstheme="minorHAnsi"/>
          <w:color w:val="444444"/>
          <w:shd w:val="clear" w:color="auto" w:fill="FFFFFF"/>
        </w:rPr>
        <w:t>The penalties for </w:t>
      </w:r>
      <w:hyperlink r:id="rId5" w:tgtFrame="_blank" w:history="1">
        <w:r w:rsidRPr="003E1D8B">
          <w:rPr>
            <w:rStyle w:val="Hyperlink"/>
            <w:rFonts w:cstheme="minorHAnsi"/>
            <w:color w:val="72246C"/>
            <w:shd w:val="clear" w:color="auto" w:fill="FFFFFF"/>
          </w:rPr>
          <w:t>BOI reporting violations</w:t>
        </w:r>
      </w:hyperlink>
      <w:r w:rsidRPr="003E1D8B">
        <w:rPr>
          <w:rFonts w:cstheme="minorHAnsi"/>
          <w:color w:val="444444"/>
          <w:shd w:val="clear" w:color="auto" w:fill="FFFFFF"/>
        </w:rPr>
        <w:t> </w:t>
      </w:r>
      <w:r w:rsidR="00253E23">
        <w:rPr>
          <w:rFonts w:cstheme="minorHAnsi"/>
          <w:color w:val="444444"/>
          <w:shd w:val="clear" w:color="auto" w:fill="FFFFFF"/>
        </w:rPr>
        <w:t>have been</w:t>
      </w:r>
      <w:r>
        <w:rPr>
          <w:rFonts w:cstheme="minorHAnsi"/>
          <w:color w:val="444444"/>
          <w:shd w:val="clear" w:color="auto" w:fill="FFFFFF"/>
        </w:rPr>
        <w:t xml:space="preserve"> inflation adjusted and </w:t>
      </w:r>
      <w:r w:rsidR="00253E23">
        <w:rPr>
          <w:rFonts w:cstheme="minorHAnsi"/>
          <w:color w:val="444444"/>
          <w:shd w:val="clear" w:color="auto" w:fill="FFFFFF"/>
        </w:rPr>
        <w:t xml:space="preserve">are </w:t>
      </w:r>
      <w:r w:rsidRPr="003E1D8B">
        <w:rPr>
          <w:rFonts w:cstheme="minorHAnsi"/>
          <w:color w:val="444444"/>
          <w:shd w:val="clear" w:color="auto" w:fill="FFFFFF"/>
        </w:rPr>
        <w:t>increased to $591 a day from $500, effective Jan</w:t>
      </w:r>
      <w:r>
        <w:rPr>
          <w:rFonts w:cstheme="minorHAnsi"/>
          <w:color w:val="444444"/>
          <w:shd w:val="clear" w:color="auto" w:fill="FFFFFF"/>
        </w:rPr>
        <w:t xml:space="preserve">uary </w:t>
      </w:r>
      <w:r w:rsidRPr="003E1D8B">
        <w:rPr>
          <w:rFonts w:cstheme="minorHAnsi"/>
          <w:color w:val="444444"/>
          <w:shd w:val="clear" w:color="auto" w:fill="FFFFFF"/>
        </w:rPr>
        <w:t>25</w:t>
      </w:r>
      <w:r>
        <w:rPr>
          <w:rFonts w:cstheme="minorHAnsi"/>
          <w:color w:val="444444"/>
          <w:shd w:val="clear" w:color="auto" w:fill="FFFFFF"/>
        </w:rPr>
        <w:t>, 2024</w:t>
      </w:r>
      <w:r w:rsidRPr="003E1D8B">
        <w:rPr>
          <w:rFonts w:cstheme="minorHAnsi"/>
          <w:color w:val="444444"/>
          <w:shd w:val="clear" w:color="auto" w:fill="FFFFFF"/>
        </w:rPr>
        <w:t>.</w:t>
      </w:r>
    </w:p>
  </w:footnote>
  <w:footnote w:id="9">
    <w:p w14:paraId="24BCE5D7" w14:textId="77777777" w:rsidR="00F80C33" w:rsidRPr="0059611A" w:rsidRDefault="00F80C33" w:rsidP="00F80C33">
      <w:pPr>
        <w:rPr>
          <w:sz w:val="20"/>
          <w:szCs w:val="20"/>
        </w:rPr>
      </w:pPr>
      <w:r w:rsidRPr="00C75C5B">
        <w:rPr>
          <w:rStyle w:val="FootnoteReference"/>
        </w:rPr>
        <w:footnoteRef/>
      </w:r>
      <w:r w:rsidRPr="00C75C5B">
        <w:t xml:space="preserve"> </w:t>
      </w:r>
      <w:hyperlink r:id="rId6" w:history="1">
        <w:r w:rsidRPr="00C75C5B">
          <w:rPr>
            <w:rStyle w:val="Hyperlink"/>
            <w:sz w:val="20"/>
            <w:szCs w:val="20"/>
          </w:rPr>
          <w:t>https://www.federalregister.gov/d/2022-21020/p-223</w:t>
        </w:r>
      </w:hyperlink>
    </w:p>
    <w:p w14:paraId="7DCA3C92" w14:textId="77777777" w:rsidR="00F80C33" w:rsidRDefault="00F80C33" w:rsidP="00F80C3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66C"/>
    <w:multiLevelType w:val="multilevel"/>
    <w:tmpl w:val="F790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31E25"/>
    <w:multiLevelType w:val="hybridMultilevel"/>
    <w:tmpl w:val="8142357A"/>
    <w:lvl w:ilvl="0" w:tplc="FED85072">
      <w:start w:val="1"/>
      <w:numFmt w:val="upperLetter"/>
      <w:lvlText w:val="%1."/>
      <w:lvlJc w:val="left"/>
      <w:pPr>
        <w:ind w:left="360" w:hanging="360"/>
      </w:pPr>
      <w:rPr>
        <w:rFonts w:asciiTheme="minorHAnsi" w:eastAsiaTheme="minorHAnsi" w:hAnsiTheme="minorHAnsi" w:cstheme="minorBidi"/>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C8420A"/>
    <w:multiLevelType w:val="multilevel"/>
    <w:tmpl w:val="4A948A7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E5801"/>
    <w:multiLevelType w:val="hybridMultilevel"/>
    <w:tmpl w:val="9EA6EE3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08623673"/>
    <w:multiLevelType w:val="multilevel"/>
    <w:tmpl w:val="1FB0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A70FE"/>
    <w:multiLevelType w:val="multilevel"/>
    <w:tmpl w:val="530EB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C7648"/>
    <w:multiLevelType w:val="hybridMultilevel"/>
    <w:tmpl w:val="EC3A0284"/>
    <w:lvl w:ilvl="0" w:tplc="FED4B234">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0CFC6C62">
      <w:start w:val="1"/>
      <w:numFmt w:val="lowerLetter"/>
      <w:lvlText w:val="(%2)"/>
      <w:lvlJc w:val="left"/>
      <w:pPr>
        <w:ind w:left="54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43A0A06A">
      <w:start w:val="1"/>
      <w:numFmt w:val="lowerRoman"/>
      <w:lvlText w:val="%3"/>
      <w:lvlJc w:val="left"/>
      <w:pPr>
        <w:ind w:left="21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87346136">
      <w:start w:val="1"/>
      <w:numFmt w:val="decimal"/>
      <w:lvlText w:val="%4"/>
      <w:lvlJc w:val="left"/>
      <w:pPr>
        <w:ind w:left="28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E57665B8">
      <w:start w:val="1"/>
      <w:numFmt w:val="lowerLetter"/>
      <w:lvlText w:val="%5"/>
      <w:lvlJc w:val="left"/>
      <w:pPr>
        <w:ind w:left="36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D0E0A9B8">
      <w:start w:val="1"/>
      <w:numFmt w:val="lowerRoman"/>
      <w:lvlText w:val="%6"/>
      <w:lvlJc w:val="left"/>
      <w:pPr>
        <w:ind w:left="43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83502B30">
      <w:start w:val="1"/>
      <w:numFmt w:val="decimal"/>
      <w:lvlText w:val="%7"/>
      <w:lvlJc w:val="left"/>
      <w:pPr>
        <w:ind w:left="50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3E7EF1BE">
      <w:start w:val="1"/>
      <w:numFmt w:val="lowerLetter"/>
      <w:lvlText w:val="%8"/>
      <w:lvlJc w:val="left"/>
      <w:pPr>
        <w:ind w:left="57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942CC796">
      <w:start w:val="1"/>
      <w:numFmt w:val="lowerRoman"/>
      <w:lvlText w:val="%9"/>
      <w:lvlJc w:val="left"/>
      <w:pPr>
        <w:ind w:left="64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E8D56EF"/>
    <w:multiLevelType w:val="hybridMultilevel"/>
    <w:tmpl w:val="2A64C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01C3EAF"/>
    <w:multiLevelType w:val="hybridMultilevel"/>
    <w:tmpl w:val="6CBE4D54"/>
    <w:lvl w:ilvl="0" w:tplc="1B003958">
      <w:start w:val="1"/>
      <w:numFmt w:val="bullet"/>
      <w:lvlText w:val="A"/>
      <w:lvlJc w:val="left"/>
      <w:pPr>
        <w:ind w:left="720" w:hanging="360"/>
      </w:pPr>
      <w:rPr>
        <w:rFonts w:asciiTheme="minorHAnsi" w:hAnsiTheme="minorHAnsi" w:cstheme="minorHAnsi" w:hint="default"/>
        <w:b/>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F431A"/>
    <w:multiLevelType w:val="hybridMultilevel"/>
    <w:tmpl w:val="1FD8F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AB6E70"/>
    <w:multiLevelType w:val="hybridMultilevel"/>
    <w:tmpl w:val="3FCE53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B50BAF"/>
    <w:multiLevelType w:val="multilevel"/>
    <w:tmpl w:val="DBDAD49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20B3A2E"/>
    <w:multiLevelType w:val="hybridMultilevel"/>
    <w:tmpl w:val="BB1EEEE2"/>
    <w:lvl w:ilvl="0" w:tplc="EA22D9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6766C"/>
    <w:multiLevelType w:val="hybridMultilevel"/>
    <w:tmpl w:val="9A72B82E"/>
    <w:lvl w:ilvl="0" w:tplc="1BA4E8DE">
      <w:start w:val="1"/>
      <w:numFmt w:val="bullet"/>
      <w:lvlText w:val="A"/>
      <w:lvlJc w:val="left"/>
      <w:pPr>
        <w:tabs>
          <w:tab w:val="num" w:pos="1440"/>
        </w:tabs>
        <w:ind w:left="1440" w:hanging="360"/>
      </w:pPr>
      <w:rPr>
        <w:rFonts w:ascii="Times New Roman" w:hAnsi="Times New Roman" w:cs="Times New Roman" w:hint="default"/>
        <w:b w:val="0"/>
        <w:i/>
        <w:color w:val="0070C0"/>
      </w:rPr>
    </w:lvl>
    <w:lvl w:ilvl="1" w:tplc="04090019">
      <w:start w:val="1"/>
      <w:numFmt w:val="decimal"/>
      <w:lvlText w:val="%2."/>
      <w:lvlJc w:val="left"/>
      <w:pPr>
        <w:tabs>
          <w:tab w:val="num" w:pos="2160"/>
        </w:tabs>
        <w:ind w:left="2160" w:hanging="360"/>
      </w:pPr>
      <w:rPr>
        <w:rFonts w:cs="Times New Roman"/>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14" w15:restartNumberingAfterBreak="0">
    <w:nsid w:val="330A56B9"/>
    <w:multiLevelType w:val="hybridMultilevel"/>
    <w:tmpl w:val="8B7CAF3C"/>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FF768F"/>
    <w:multiLevelType w:val="hybridMultilevel"/>
    <w:tmpl w:val="972E467C"/>
    <w:lvl w:ilvl="0" w:tplc="9AF4F4F6">
      <w:start w:val="1"/>
      <w:numFmt w:val="bullet"/>
      <w:lvlText w:val="Q"/>
      <w:lvlJc w:val="left"/>
      <w:pPr>
        <w:ind w:left="360" w:hanging="360"/>
      </w:pPr>
      <w:rPr>
        <w:rFonts w:ascii="Times New Roman" w:hAnsi="Times New Roman" w:cs="Times New Roman" w:hint="default"/>
        <w:b/>
        <w:bCs/>
        <w:i/>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6768CF"/>
    <w:multiLevelType w:val="hybridMultilevel"/>
    <w:tmpl w:val="E5DAA058"/>
    <w:lvl w:ilvl="0" w:tplc="FC40EBB2">
      <w:start w:val="1"/>
      <w:numFmt w:val="bullet"/>
      <w:lvlText w:val="Q"/>
      <w:lvlJc w:val="left"/>
      <w:pPr>
        <w:ind w:left="360" w:hanging="360"/>
      </w:pPr>
      <w:rPr>
        <w:rFonts w:ascii="Times New Roman" w:hAnsi="Times New Roman" w:cs="Times New Roman" w:hint="default"/>
        <w:b/>
        <w:bCs/>
        <w:i/>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724B21"/>
    <w:multiLevelType w:val="multilevel"/>
    <w:tmpl w:val="F790D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DD51F1"/>
    <w:multiLevelType w:val="hybridMultilevel"/>
    <w:tmpl w:val="83BEA71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B0151"/>
    <w:multiLevelType w:val="hybridMultilevel"/>
    <w:tmpl w:val="708C2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5D4247"/>
    <w:multiLevelType w:val="hybridMultilevel"/>
    <w:tmpl w:val="CB3690E0"/>
    <w:lvl w:ilvl="0" w:tplc="B3624606">
      <w:start w:val="17"/>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AF1302"/>
    <w:multiLevelType w:val="hybridMultilevel"/>
    <w:tmpl w:val="D658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26233"/>
    <w:multiLevelType w:val="hybridMultilevel"/>
    <w:tmpl w:val="3CD28D8E"/>
    <w:lvl w:ilvl="0" w:tplc="04090015">
      <w:start w:val="17"/>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519E50CF"/>
    <w:multiLevelType w:val="hybridMultilevel"/>
    <w:tmpl w:val="F99222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0D04C8"/>
    <w:multiLevelType w:val="hybridMultilevel"/>
    <w:tmpl w:val="C3E247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386B88"/>
    <w:multiLevelType w:val="multilevel"/>
    <w:tmpl w:val="0B12F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9401C0"/>
    <w:multiLevelType w:val="hybridMultilevel"/>
    <w:tmpl w:val="A9D016F4"/>
    <w:lvl w:ilvl="0" w:tplc="9EFEE58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D21008"/>
    <w:multiLevelType w:val="hybridMultilevel"/>
    <w:tmpl w:val="60A8A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6A7A95"/>
    <w:multiLevelType w:val="multilevel"/>
    <w:tmpl w:val="F3C09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58572212">
    <w:abstractNumId w:val="15"/>
  </w:num>
  <w:num w:numId="2" w16cid:durableId="729034433">
    <w:abstractNumId w:val="16"/>
  </w:num>
  <w:num w:numId="3" w16cid:durableId="1070159031">
    <w:abstractNumId w:val="8"/>
  </w:num>
  <w:num w:numId="4" w16cid:durableId="15709217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088459">
    <w:abstractNumId w:val="3"/>
  </w:num>
  <w:num w:numId="6" w16cid:durableId="152066295">
    <w:abstractNumId w:val="13"/>
  </w:num>
  <w:num w:numId="7" w16cid:durableId="1721201165">
    <w:abstractNumId w:val="10"/>
  </w:num>
  <w:num w:numId="8" w16cid:durableId="292642848">
    <w:abstractNumId w:val="27"/>
  </w:num>
  <w:num w:numId="9" w16cid:durableId="2041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5052950">
    <w:abstractNumId w:val="18"/>
  </w:num>
  <w:num w:numId="11" w16cid:durableId="655841954">
    <w:abstractNumId w:val="14"/>
  </w:num>
  <w:num w:numId="12" w16cid:durableId="613366280">
    <w:abstractNumId w:val="20"/>
  </w:num>
  <w:num w:numId="13" w16cid:durableId="1157839640">
    <w:abstractNumId w:val="1"/>
  </w:num>
  <w:num w:numId="14" w16cid:durableId="205072795">
    <w:abstractNumId w:val="22"/>
  </w:num>
  <w:num w:numId="15" w16cid:durableId="1980918431">
    <w:abstractNumId w:val="12"/>
  </w:num>
  <w:num w:numId="16" w16cid:durableId="1060635215">
    <w:abstractNumId w:val="9"/>
  </w:num>
  <w:num w:numId="17" w16cid:durableId="1683622727">
    <w:abstractNumId w:val="6"/>
  </w:num>
  <w:num w:numId="18" w16cid:durableId="437679649">
    <w:abstractNumId w:val="21"/>
  </w:num>
  <w:num w:numId="19" w16cid:durableId="1634945216">
    <w:abstractNumId w:val="28"/>
  </w:num>
  <w:num w:numId="20" w16cid:durableId="1129084706">
    <w:abstractNumId w:val="25"/>
  </w:num>
  <w:num w:numId="21" w16cid:durableId="269818191">
    <w:abstractNumId w:val="4"/>
  </w:num>
  <w:num w:numId="22" w16cid:durableId="1636835267">
    <w:abstractNumId w:val="26"/>
  </w:num>
  <w:num w:numId="23" w16cid:durableId="849106469">
    <w:abstractNumId w:val="11"/>
  </w:num>
  <w:num w:numId="24" w16cid:durableId="948395443">
    <w:abstractNumId w:val="24"/>
  </w:num>
  <w:num w:numId="25" w16cid:durableId="877355177">
    <w:abstractNumId w:val="17"/>
  </w:num>
  <w:num w:numId="26" w16cid:durableId="25755954">
    <w:abstractNumId w:val="0"/>
  </w:num>
  <w:num w:numId="27" w16cid:durableId="1458374297">
    <w:abstractNumId w:val="2"/>
  </w:num>
  <w:num w:numId="28" w16cid:durableId="1681934066">
    <w:abstractNumId w:val="23"/>
  </w:num>
  <w:num w:numId="29" w16cid:durableId="414405295">
    <w:abstractNumId w:val="5"/>
  </w:num>
  <w:num w:numId="30" w16cid:durableId="587505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D2"/>
    <w:rsid w:val="00001823"/>
    <w:rsid w:val="000045F0"/>
    <w:rsid w:val="0001100E"/>
    <w:rsid w:val="00011AB8"/>
    <w:rsid w:val="000154B1"/>
    <w:rsid w:val="00017E0C"/>
    <w:rsid w:val="00021091"/>
    <w:rsid w:val="00031857"/>
    <w:rsid w:val="00040CB6"/>
    <w:rsid w:val="00040EDF"/>
    <w:rsid w:val="00042AAE"/>
    <w:rsid w:val="0004681B"/>
    <w:rsid w:val="0004707A"/>
    <w:rsid w:val="00047BB2"/>
    <w:rsid w:val="00050DF6"/>
    <w:rsid w:val="00053D5F"/>
    <w:rsid w:val="00056F79"/>
    <w:rsid w:val="0005757D"/>
    <w:rsid w:val="000602B9"/>
    <w:rsid w:val="00061B94"/>
    <w:rsid w:val="00062DE4"/>
    <w:rsid w:val="00071765"/>
    <w:rsid w:val="000822E9"/>
    <w:rsid w:val="000920EA"/>
    <w:rsid w:val="00092D9C"/>
    <w:rsid w:val="00093A0B"/>
    <w:rsid w:val="00094BF2"/>
    <w:rsid w:val="000A0922"/>
    <w:rsid w:val="000A1932"/>
    <w:rsid w:val="000A1F16"/>
    <w:rsid w:val="000A5FB3"/>
    <w:rsid w:val="000B001E"/>
    <w:rsid w:val="000B4C50"/>
    <w:rsid w:val="000B4ED1"/>
    <w:rsid w:val="000B4F6C"/>
    <w:rsid w:val="000B7AE9"/>
    <w:rsid w:val="000C0159"/>
    <w:rsid w:val="000C02DF"/>
    <w:rsid w:val="000C7A05"/>
    <w:rsid w:val="000D2EB2"/>
    <w:rsid w:val="000E3516"/>
    <w:rsid w:val="000E3E1E"/>
    <w:rsid w:val="000E45EF"/>
    <w:rsid w:val="000E4B72"/>
    <w:rsid w:val="000E589F"/>
    <w:rsid w:val="000E73C0"/>
    <w:rsid w:val="000E7B8B"/>
    <w:rsid w:val="000F06CF"/>
    <w:rsid w:val="000F2275"/>
    <w:rsid w:val="000F2733"/>
    <w:rsid w:val="000F5D74"/>
    <w:rsid w:val="001005F6"/>
    <w:rsid w:val="00102661"/>
    <w:rsid w:val="00103627"/>
    <w:rsid w:val="0010368B"/>
    <w:rsid w:val="00103A41"/>
    <w:rsid w:val="001053CA"/>
    <w:rsid w:val="00105F96"/>
    <w:rsid w:val="00106E3D"/>
    <w:rsid w:val="00107D17"/>
    <w:rsid w:val="0011200C"/>
    <w:rsid w:val="00114122"/>
    <w:rsid w:val="001259A6"/>
    <w:rsid w:val="00127C9C"/>
    <w:rsid w:val="001306E1"/>
    <w:rsid w:val="00132E8F"/>
    <w:rsid w:val="00132F0A"/>
    <w:rsid w:val="00136D3C"/>
    <w:rsid w:val="00142D06"/>
    <w:rsid w:val="00145607"/>
    <w:rsid w:val="00145AD6"/>
    <w:rsid w:val="001472A5"/>
    <w:rsid w:val="001506F8"/>
    <w:rsid w:val="00150AEF"/>
    <w:rsid w:val="00153689"/>
    <w:rsid w:val="00154322"/>
    <w:rsid w:val="001547DD"/>
    <w:rsid w:val="00154D53"/>
    <w:rsid w:val="00157B6F"/>
    <w:rsid w:val="001618E1"/>
    <w:rsid w:val="00162E45"/>
    <w:rsid w:val="00164424"/>
    <w:rsid w:val="001662EA"/>
    <w:rsid w:val="00167C7D"/>
    <w:rsid w:val="00170680"/>
    <w:rsid w:val="0017313E"/>
    <w:rsid w:val="00173AA3"/>
    <w:rsid w:val="00173F24"/>
    <w:rsid w:val="00174B6A"/>
    <w:rsid w:val="00174E3D"/>
    <w:rsid w:val="001755BF"/>
    <w:rsid w:val="001778E9"/>
    <w:rsid w:val="00181450"/>
    <w:rsid w:val="001823C6"/>
    <w:rsid w:val="00182E57"/>
    <w:rsid w:val="00184C18"/>
    <w:rsid w:val="0018702E"/>
    <w:rsid w:val="00187A48"/>
    <w:rsid w:val="0019022E"/>
    <w:rsid w:val="001903BC"/>
    <w:rsid w:val="00194322"/>
    <w:rsid w:val="001971CC"/>
    <w:rsid w:val="001A1798"/>
    <w:rsid w:val="001A1A4F"/>
    <w:rsid w:val="001A56FE"/>
    <w:rsid w:val="001A666D"/>
    <w:rsid w:val="001B4137"/>
    <w:rsid w:val="001B436C"/>
    <w:rsid w:val="001B4C2F"/>
    <w:rsid w:val="001B631B"/>
    <w:rsid w:val="001B63E7"/>
    <w:rsid w:val="001B6C63"/>
    <w:rsid w:val="001C0F4E"/>
    <w:rsid w:val="001C22CB"/>
    <w:rsid w:val="001C2EDD"/>
    <w:rsid w:val="001C5BB0"/>
    <w:rsid w:val="001D2883"/>
    <w:rsid w:val="001D3007"/>
    <w:rsid w:val="001E12EC"/>
    <w:rsid w:val="001E3C25"/>
    <w:rsid w:val="001E592A"/>
    <w:rsid w:val="001E5F62"/>
    <w:rsid w:val="001E7A49"/>
    <w:rsid w:val="001E7C71"/>
    <w:rsid w:val="001F08EC"/>
    <w:rsid w:val="001F0AFC"/>
    <w:rsid w:val="001F2446"/>
    <w:rsid w:val="001F4EDF"/>
    <w:rsid w:val="001F5174"/>
    <w:rsid w:val="0020022B"/>
    <w:rsid w:val="002063FB"/>
    <w:rsid w:val="00210C4C"/>
    <w:rsid w:val="0021152D"/>
    <w:rsid w:val="00214160"/>
    <w:rsid w:val="00216EA8"/>
    <w:rsid w:val="002177AB"/>
    <w:rsid w:val="00222995"/>
    <w:rsid w:val="00224120"/>
    <w:rsid w:val="0023619B"/>
    <w:rsid w:val="00242E67"/>
    <w:rsid w:val="00243D5E"/>
    <w:rsid w:val="0024735D"/>
    <w:rsid w:val="002474D2"/>
    <w:rsid w:val="00253E23"/>
    <w:rsid w:val="00254233"/>
    <w:rsid w:val="00256AE5"/>
    <w:rsid w:val="00257334"/>
    <w:rsid w:val="0026607C"/>
    <w:rsid w:val="00266E38"/>
    <w:rsid w:val="00267F15"/>
    <w:rsid w:val="00267FA8"/>
    <w:rsid w:val="00271F67"/>
    <w:rsid w:val="00274057"/>
    <w:rsid w:val="00274FFD"/>
    <w:rsid w:val="00283FF2"/>
    <w:rsid w:val="00285DDC"/>
    <w:rsid w:val="0028608A"/>
    <w:rsid w:val="002876AB"/>
    <w:rsid w:val="00290759"/>
    <w:rsid w:val="00292A02"/>
    <w:rsid w:val="0029315A"/>
    <w:rsid w:val="002939BF"/>
    <w:rsid w:val="00294F1D"/>
    <w:rsid w:val="002952F0"/>
    <w:rsid w:val="002960C0"/>
    <w:rsid w:val="002A0D4A"/>
    <w:rsid w:val="002A15C8"/>
    <w:rsid w:val="002A6A65"/>
    <w:rsid w:val="002B2BC0"/>
    <w:rsid w:val="002B5444"/>
    <w:rsid w:val="002B5977"/>
    <w:rsid w:val="002C0BD9"/>
    <w:rsid w:val="002C5156"/>
    <w:rsid w:val="002D0F9A"/>
    <w:rsid w:val="002D24E3"/>
    <w:rsid w:val="002D4143"/>
    <w:rsid w:val="002E003D"/>
    <w:rsid w:val="002E1F01"/>
    <w:rsid w:val="002E2E8D"/>
    <w:rsid w:val="002E327D"/>
    <w:rsid w:val="002F019D"/>
    <w:rsid w:val="002F4227"/>
    <w:rsid w:val="002F54FD"/>
    <w:rsid w:val="002F6662"/>
    <w:rsid w:val="003028B1"/>
    <w:rsid w:val="0030368D"/>
    <w:rsid w:val="0030486C"/>
    <w:rsid w:val="0030491E"/>
    <w:rsid w:val="00312898"/>
    <w:rsid w:val="00313212"/>
    <w:rsid w:val="00313D04"/>
    <w:rsid w:val="00314E71"/>
    <w:rsid w:val="00317BA7"/>
    <w:rsid w:val="003214C2"/>
    <w:rsid w:val="00330E3A"/>
    <w:rsid w:val="00332408"/>
    <w:rsid w:val="00333C23"/>
    <w:rsid w:val="00336E0C"/>
    <w:rsid w:val="00343E9F"/>
    <w:rsid w:val="00344F95"/>
    <w:rsid w:val="003500FA"/>
    <w:rsid w:val="003504DB"/>
    <w:rsid w:val="00351FA0"/>
    <w:rsid w:val="003524E1"/>
    <w:rsid w:val="003533D8"/>
    <w:rsid w:val="00355A41"/>
    <w:rsid w:val="00355D7F"/>
    <w:rsid w:val="003578C5"/>
    <w:rsid w:val="0036202E"/>
    <w:rsid w:val="0036474F"/>
    <w:rsid w:val="00365A3A"/>
    <w:rsid w:val="00371FFF"/>
    <w:rsid w:val="0037261A"/>
    <w:rsid w:val="00373421"/>
    <w:rsid w:val="00374A62"/>
    <w:rsid w:val="003835A4"/>
    <w:rsid w:val="0039139B"/>
    <w:rsid w:val="003931D3"/>
    <w:rsid w:val="0039361E"/>
    <w:rsid w:val="0039432F"/>
    <w:rsid w:val="00394FB1"/>
    <w:rsid w:val="003A0609"/>
    <w:rsid w:val="003A36E9"/>
    <w:rsid w:val="003A4651"/>
    <w:rsid w:val="003B0E80"/>
    <w:rsid w:val="003B2BC2"/>
    <w:rsid w:val="003B2F4F"/>
    <w:rsid w:val="003B482E"/>
    <w:rsid w:val="003C4972"/>
    <w:rsid w:val="003C6545"/>
    <w:rsid w:val="003D18E3"/>
    <w:rsid w:val="003D49AC"/>
    <w:rsid w:val="003D5254"/>
    <w:rsid w:val="003D626D"/>
    <w:rsid w:val="003D6DEE"/>
    <w:rsid w:val="003E1D8B"/>
    <w:rsid w:val="003E63A3"/>
    <w:rsid w:val="003E74C1"/>
    <w:rsid w:val="003F1A24"/>
    <w:rsid w:val="003F40AD"/>
    <w:rsid w:val="003F6006"/>
    <w:rsid w:val="003F79C0"/>
    <w:rsid w:val="0040209F"/>
    <w:rsid w:val="00410A87"/>
    <w:rsid w:val="00413D2B"/>
    <w:rsid w:val="004153B9"/>
    <w:rsid w:val="00425A88"/>
    <w:rsid w:val="00426CFB"/>
    <w:rsid w:val="0043082B"/>
    <w:rsid w:val="00434954"/>
    <w:rsid w:val="00437C05"/>
    <w:rsid w:val="004408D3"/>
    <w:rsid w:val="0044403A"/>
    <w:rsid w:val="004461B4"/>
    <w:rsid w:val="00451C75"/>
    <w:rsid w:val="00455483"/>
    <w:rsid w:val="0045762C"/>
    <w:rsid w:val="00461424"/>
    <w:rsid w:val="00462A6D"/>
    <w:rsid w:val="00463576"/>
    <w:rsid w:val="00463A28"/>
    <w:rsid w:val="00470E34"/>
    <w:rsid w:val="00473BA4"/>
    <w:rsid w:val="004770C6"/>
    <w:rsid w:val="004776F6"/>
    <w:rsid w:val="00481975"/>
    <w:rsid w:val="004834AB"/>
    <w:rsid w:val="004836CD"/>
    <w:rsid w:val="00483BB2"/>
    <w:rsid w:val="00484730"/>
    <w:rsid w:val="00484E6B"/>
    <w:rsid w:val="00487234"/>
    <w:rsid w:val="00487B84"/>
    <w:rsid w:val="00494C02"/>
    <w:rsid w:val="00497040"/>
    <w:rsid w:val="004A4D25"/>
    <w:rsid w:val="004A5FFD"/>
    <w:rsid w:val="004A6FAC"/>
    <w:rsid w:val="004B2168"/>
    <w:rsid w:val="004B3450"/>
    <w:rsid w:val="004D05C7"/>
    <w:rsid w:val="004D14E7"/>
    <w:rsid w:val="004D3AC5"/>
    <w:rsid w:val="004D3C92"/>
    <w:rsid w:val="004D683B"/>
    <w:rsid w:val="004E28CC"/>
    <w:rsid w:val="004E4A63"/>
    <w:rsid w:val="004E5621"/>
    <w:rsid w:val="004E58F9"/>
    <w:rsid w:val="004F16D7"/>
    <w:rsid w:val="004F27F5"/>
    <w:rsid w:val="004F3D96"/>
    <w:rsid w:val="004F468D"/>
    <w:rsid w:val="004F5058"/>
    <w:rsid w:val="004F6F58"/>
    <w:rsid w:val="005022FF"/>
    <w:rsid w:val="00505B07"/>
    <w:rsid w:val="005075D0"/>
    <w:rsid w:val="005079AF"/>
    <w:rsid w:val="00507E2E"/>
    <w:rsid w:val="00513842"/>
    <w:rsid w:val="00513C7D"/>
    <w:rsid w:val="00515F6E"/>
    <w:rsid w:val="00516097"/>
    <w:rsid w:val="00520151"/>
    <w:rsid w:val="00524B90"/>
    <w:rsid w:val="00526DD0"/>
    <w:rsid w:val="00537F0E"/>
    <w:rsid w:val="00540EA8"/>
    <w:rsid w:val="0054126E"/>
    <w:rsid w:val="00547124"/>
    <w:rsid w:val="00551378"/>
    <w:rsid w:val="00560D5F"/>
    <w:rsid w:val="00566331"/>
    <w:rsid w:val="00566E5E"/>
    <w:rsid w:val="0057186A"/>
    <w:rsid w:val="00574A9C"/>
    <w:rsid w:val="0057572B"/>
    <w:rsid w:val="00577969"/>
    <w:rsid w:val="0058143D"/>
    <w:rsid w:val="0058338A"/>
    <w:rsid w:val="00590080"/>
    <w:rsid w:val="0059456C"/>
    <w:rsid w:val="0059611A"/>
    <w:rsid w:val="005A29FE"/>
    <w:rsid w:val="005A2AE4"/>
    <w:rsid w:val="005A7BAC"/>
    <w:rsid w:val="005B2D10"/>
    <w:rsid w:val="005B30E0"/>
    <w:rsid w:val="005B417B"/>
    <w:rsid w:val="005B5A4A"/>
    <w:rsid w:val="005C0414"/>
    <w:rsid w:val="005C304D"/>
    <w:rsid w:val="005C551E"/>
    <w:rsid w:val="005D5EF9"/>
    <w:rsid w:val="005E0BBA"/>
    <w:rsid w:val="005E4077"/>
    <w:rsid w:val="005E5C2B"/>
    <w:rsid w:val="005E6B53"/>
    <w:rsid w:val="005F04B8"/>
    <w:rsid w:val="005F08DE"/>
    <w:rsid w:val="005F3569"/>
    <w:rsid w:val="005F4474"/>
    <w:rsid w:val="005F5DED"/>
    <w:rsid w:val="005F6FA7"/>
    <w:rsid w:val="005F795E"/>
    <w:rsid w:val="0060118C"/>
    <w:rsid w:val="00601583"/>
    <w:rsid w:val="0060158F"/>
    <w:rsid w:val="00601BE9"/>
    <w:rsid w:val="00602D85"/>
    <w:rsid w:val="006055D9"/>
    <w:rsid w:val="00610C73"/>
    <w:rsid w:val="00611174"/>
    <w:rsid w:val="00613EF3"/>
    <w:rsid w:val="00614CDF"/>
    <w:rsid w:val="00617751"/>
    <w:rsid w:val="006212A8"/>
    <w:rsid w:val="00624B7E"/>
    <w:rsid w:val="00624F59"/>
    <w:rsid w:val="006262E9"/>
    <w:rsid w:val="006277BF"/>
    <w:rsid w:val="00630E06"/>
    <w:rsid w:val="006311FD"/>
    <w:rsid w:val="0064268E"/>
    <w:rsid w:val="00642BAB"/>
    <w:rsid w:val="006450FD"/>
    <w:rsid w:val="00645691"/>
    <w:rsid w:val="0064581B"/>
    <w:rsid w:val="006469EB"/>
    <w:rsid w:val="00646C05"/>
    <w:rsid w:val="00647E27"/>
    <w:rsid w:val="0065078D"/>
    <w:rsid w:val="00651922"/>
    <w:rsid w:val="006523AB"/>
    <w:rsid w:val="006525F2"/>
    <w:rsid w:val="0065305E"/>
    <w:rsid w:val="0065343F"/>
    <w:rsid w:val="0065374C"/>
    <w:rsid w:val="0065696F"/>
    <w:rsid w:val="00660D34"/>
    <w:rsid w:val="00663316"/>
    <w:rsid w:val="006651F8"/>
    <w:rsid w:val="00670821"/>
    <w:rsid w:val="00677A9A"/>
    <w:rsid w:val="00677B8F"/>
    <w:rsid w:val="00693180"/>
    <w:rsid w:val="006934E0"/>
    <w:rsid w:val="00694C5E"/>
    <w:rsid w:val="00695006"/>
    <w:rsid w:val="0069559D"/>
    <w:rsid w:val="006A1F18"/>
    <w:rsid w:val="006A268C"/>
    <w:rsid w:val="006A2C9E"/>
    <w:rsid w:val="006A4D13"/>
    <w:rsid w:val="006B0576"/>
    <w:rsid w:val="006B0C3B"/>
    <w:rsid w:val="006B1E14"/>
    <w:rsid w:val="006B2833"/>
    <w:rsid w:val="006B4E89"/>
    <w:rsid w:val="006B7DB2"/>
    <w:rsid w:val="006C5522"/>
    <w:rsid w:val="006C64CE"/>
    <w:rsid w:val="006C682F"/>
    <w:rsid w:val="006C6E03"/>
    <w:rsid w:val="006D0395"/>
    <w:rsid w:val="006D0646"/>
    <w:rsid w:val="006D1744"/>
    <w:rsid w:val="006D29FE"/>
    <w:rsid w:val="006D3502"/>
    <w:rsid w:val="006D5A66"/>
    <w:rsid w:val="006E32FE"/>
    <w:rsid w:val="006E3A8A"/>
    <w:rsid w:val="006E69B8"/>
    <w:rsid w:val="006E7207"/>
    <w:rsid w:val="006F273A"/>
    <w:rsid w:val="006F518C"/>
    <w:rsid w:val="006F5E31"/>
    <w:rsid w:val="006F62F7"/>
    <w:rsid w:val="006F671C"/>
    <w:rsid w:val="00701ECF"/>
    <w:rsid w:val="00704D90"/>
    <w:rsid w:val="00705DE4"/>
    <w:rsid w:val="00714234"/>
    <w:rsid w:val="00715EBC"/>
    <w:rsid w:val="0071627D"/>
    <w:rsid w:val="00716360"/>
    <w:rsid w:val="00721882"/>
    <w:rsid w:val="00723619"/>
    <w:rsid w:val="00723B6F"/>
    <w:rsid w:val="007259C4"/>
    <w:rsid w:val="007323CE"/>
    <w:rsid w:val="00736C1B"/>
    <w:rsid w:val="00740208"/>
    <w:rsid w:val="00741ECF"/>
    <w:rsid w:val="007466C8"/>
    <w:rsid w:val="00751469"/>
    <w:rsid w:val="007528BD"/>
    <w:rsid w:val="00752EE9"/>
    <w:rsid w:val="00753F75"/>
    <w:rsid w:val="00755005"/>
    <w:rsid w:val="0075653B"/>
    <w:rsid w:val="00756CBA"/>
    <w:rsid w:val="007602F7"/>
    <w:rsid w:val="00761105"/>
    <w:rsid w:val="00761FA8"/>
    <w:rsid w:val="00763C7B"/>
    <w:rsid w:val="00764765"/>
    <w:rsid w:val="00765EA4"/>
    <w:rsid w:val="007673D3"/>
    <w:rsid w:val="007700FF"/>
    <w:rsid w:val="007725D9"/>
    <w:rsid w:val="00772848"/>
    <w:rsid w:val="00773B5D"/>
    <w:rsid w:val="007773C9"/>
    <w:rsid w:val="00780F1A"/>
    <w:rsid w:val="00786F95"/>
    <w:rsid w:val="00787ADB"/>
    <w:rsid w:val="007906CC"/>
    <w:rsid w:val="007A1F3C"/>
    <w:rsid w:val="007A615D"/>
    <w:rsid w:val="007A714F"/>
    <w:rsid w:val="007B61F7"/>
    <w:rsid w:val="007C23CD"/>
    <w:rsid w:val="007C7FE3"/>
    <w:rsid w:val="007D1807"/>
    <w:rsid w:val="007D28BE"/>
    <w:rsid w:val="007D46E9"/>
    <w:rsid w:val="007F7A98"/>
    <w:rsid w:val="0080036D"/>
    <w:rsid w:val="00800FBB"/>
    <w:rsid w:val="008039C1"/>
    <w:rsid w:val="00805C16"/>
    <w:rsid w:val="008100EC"/>
    <w:rsid w:val="0081356E"/>
    <w:rsid w:val="00814F38"/>
    <w:rsid w:val="00816116"/>
    <w:rsid w:val="00820866"/>
    <w:rsid w:val="008215CD"/>
    <w:rsid w:val="00821BE9"/>
    <w:rsid w:val="00822DA5"/>
    <w:rsid w:val="008232A0"/>
    <w:rsid w:val="00823927"/>
    <w:rsid w:val="00823BF0"/>
    <w:rsid w:val="00831A60"/>
    <w:rsid w:val="00834A1C"/>
    <w:rsid w:val="00837508"/>
    <w:rsid w:val="00843596"/>
    <w:rsid w:val="008451AF"/>
    <w:rsid w:val="00853899"/>
    <w:rsid w:val="00854A68"/>
    <w:rsid w:val="008556B2"/>
    <w:rsid w:val="008613CA"/>
    <w:rsid w:val="00864133"/>
    <w:rsid w:val="008700EA"/>
    <w:rsid w:val="00870C89"/>
    <w:rsid w:val="00871E0E"/>
    <w:rsid w:val="00872F38"/>
    <w:rsid w:val="00873BC6"/>
    <w:rsid w:val="00876C76"/>
    <w:rsid w:val="008847A8"/>
    <w:rsid w:val="008925B7"/>
    <w:rsid w:val="0089317F"/>
    <w:rsid w:val="00893721"/>
    <w:rsid w:val="00893D06"/>
    <w:rsid w:val="00896E74"/>
    <w:rsid w:val="008A0041"/>
    <w:rsid w:val="008A3A58"/>
    <w:rsid w:val="008B2E90"/>
    <w:rsid w:val="008B3D6E"/>
    <w:rsid w:val="008B4518"/>
    <w:rsid w:val="008B5F2D"/>
    <w:rsid w:val="008B7BDB"/>
    <w:rsid w:val="008C08EF"/>
    <w:rsid w:val="008C248F"/>
    <w:rsid w:val="008C4582"/>
    <w:rsid w:val="008C51D7"/>
    <w:rsid w:val="008C539F"/>
    <w:rsid w:val="008D1B0A"/>
    <w:rsid w:val="008D2DE7"/>
    <w:rsid w:val="008D3DF7"/>
    <w:rsid w:val="008D454E"/>
    <w:rsid w:val="008E05C2"/>
    <w:rsid w:val="008E1BE9"/>
    <w:rsid w:val="008E7705"/>
    <w:rsid w:val="008F35B2"/>
    <w:rsid w:val="008F44F2"/>
    <w:rsid w:val="008F7E3A"/>
    <w:rsid w:val="00901E93"/>
    <w:rsid w:val="00903512"/>
    <w:rsid w:val="009051CC"/>
    <w:rsid w:val="009067CE"/>
    <w:rsid w:val="00911EC5"/>
    <w:rsid w:val="009122CB"/>
    <w:rsid w:val="0091541D"/>
    <w:rsid w:val="009156F5"/>
    <w:rsid w:val="0091642F"/>
    <w:rsid w:val="00920097"/>
    <w:rsid w:val="00923D80"/>
    <w:rsid w:val="00924280"/>
    <w:rsid w:val="009264B9"/>
    <w:rsid w:val="00927749"/>
    <w:rsid w:val="00930311"/>
    <w:rsid w:val="00934460"/>
    <w:rsid w:val="00934C66"/>
    <w:rsid w:val="009353B2"/>
    <w:rsid w:val="0093559D"/>
    <w:rsid w:val="009409BD"/>
    <w:rsid w:val="00941216"/>
    <w:rsid w:val="00957A3C"/>
    <w:rsid w:val="00960BD5"/>
    <w:rsid w:val="0096250A"/>
    <w:rsid w:val="00962D6C"/>
    <w:rsid w:val="00966724"/>
    <w:rsid w:val="00976492"/>
    <w:rsid w:val="00977382"/>
    <w:rsid w:val="009838F8"/>
    <w:rsid w:val="009869E0"/>
    <w:rsid w:val="00991E54"/>
    <w:rsid w:val="00997423"/>
    <w:rsid w:val="0099744C"/>
    <w:rsid w:val="009A0EE8"/>
    <w:rsid w:val="009A6996"/>
    <w:rsid w:val="009C51E3"/>
    <w:rsid w:val="009C5CCC"/>
    <w:rsid w:val="009D322B"/>
    <w:rsid w:val="009D3527"/>
    <w:rsid w:val="009E0751"/>
    <w:rsid w:val="009E3DC7"/>
    <w:rsid w:val="009E6567"/>
    <w:rsid w:val="009E6571"/>
    <w:rsid w:val="009F06A4"/>
    <w:rsid w:val="009F0E65"/>
    <w:rsid w:val="009F4217"/>
    <w:rsid w:val="00A01446"/>
    <w:rsid w:val="00A06BC4"/>
    <w:rsid w:val="00A108CE"/>
    <w:rsid w:val="00A110C4"/>
    <w:rsid w:val="00A158FC"/>
    <w:rsid w:val="00A20A28"/>
    <w:rsid w:val="00A233ED"/>
    <w:rsid w:val="00A3040F"/>
    <w:rsid w:val="00A30541"/>
    <w:rsid w:val="00A30924"/>
    <w:rsid w:val="00A31700"/>
    <w:rsid w:val="00A32677"/>
    <w:rsid w:val="00A3440E"/>
    <w:rsid w:val="00A34A7B"/>
    <w:rsid w:val="00A501FC"/>
    <w:rsid w:val="00A56471"/>
    <w:rsid w:val="00A57B0C"/>
    <w:rsid w:val="00A57D33"/>
    <w:rsid w:val="00A64308"/>
    <w:rsid w:val="00A67B94"/>
    <w:rsid w:val="00A71546"/>
    <w:rsid w:val="00A72B03"/>
    <w:rsid w:val="00A815B9"/>
    <w:rsid w:val="00A83135"/>
    <w:rsid w:val="00A861BD"/>
    <w:rsid w:val="00A862BE"/>
    <w:rsid w:val="00A920A3"/>
    <w:rsid w:val="00A92C20"/>
    <w:rsid w:val="00A95898"/>
    <w:rsid w:val="00A96D60"/>
    <w:rsid w:val="00A9774C"/>
    <w:rsid w:val="00AA1748"/>
    <w:rsid w:val="00AA5F90"/>
    <w:rsid w:val="00AA7225"/>
    <w:rsid w:val="00AB157C"/>
    <w:rsid w:val="00AB71E8"/>
    <w:rsid w:val="00AB7E50"/>
    <w:rsid w:val="00AC7B2B"/>
    <w:rsid w:val="00AD152A"/>
    <w:rsid w:val="00AD587A"/>
    <w:rsid w:val="00AD58E3"/>
    <w:rsid w:val="00AE02D9"/>
    <w:rsid w:val="00AE22FD"/>
    <w:rsid w:val="00AE30CA"/>
    <w:rsid w:val="00AE4343"/>
    <w:rsid w:val="00AF1D43"/>
    <w:rsid w:val="00B00A10"/>
    <w:rsid w:val="00B014CC"/>
    <w:rsid w:val="00B04731"/>
    <w:rsid w:val="00B05AD6"/>
    <w:rsid w:val="00B05E73"/>
    <w:rsid w:val="00B06E2A"/>
    <w:rsid w:val="00B12774"/>
    <w:rsid w:val="00B133EA"/>
    <w:rsid w:val="00B2029D"/>
    <w:rsid w:val="00B26E5E"/>
    <w:rsid w:val="00B302CF"/>
    <w:rsid w:val="00B3143D"/>
    <w:rsid w:val="00B328D8"/>
    <w:rsid w:val="00B36B35"/>
    <w:rsid w:val="00B3750F"/>
    <w:rsid w:val="00B40DE7"/>
    <w:rsid w:val="00B41478"/>
    <w:rsid w:val="00B457F0"/>
    <w:rsid w:val="00B573FB"/>
    <w:rsid w:val="00B64103"/>
    <w:rsid w:val="00B64B90"/>
    <w:rsid w:val="00B65CD6"/>
    <w:rsid w:val="00B6705F"/>
    <w:rsid w:val="00B7141F"/>
    <w:rsid w:val="00B769F2"/>
    <w:rsid w:val="00B8343D"/>
    <w:rsid w:val="00B8544F"/>
    <w:rsid w:val="00B854BB"/>
    <w:rsid w:val="00B870AC"/>
    <w:rsid w:val="00B87915"/>
    <w:rsid w:val="00B90349"/>
    <w:rsid w:val="00B93C8D"/>
    <w:rsid w:val="00B93D4E"/>
    <w:rsid w:val="00B968BF"/>
    <w:rsid w:val="00BA1DD1"/>
    <w:rsid w:val="00BA4AC8"/>
    <w:rsid w:val="00BA5E81"/>
    <w:rsid w:val="00BA7BC4"/>
    <w:rsid w:val="00BC1665"/>
    <w:rsid w:val="00BC17D0"/>
    <w:rsid w:val="00BC3D36"/>
    <w:rsid w:val="00BC4929"/>
    <w:rsid w:val="00BD4F94"/>
    <w:rsid w:val="00BD70E5"/>
    <w:rsid w:val="00BE0E12"/>
    <w:rsid w:val="00BE1507"/>
    <w:rsid w:val="00BE53E3"/>
    <w:rsid w:val="00BE5CFF"/>
    <w:rsid w:val="00BF0171"/>
    <w:rsid w:val="00BF0271"/>
    <w:rsid w:val="00BF4970"/>
    <w:rsid w:val="00BF538B"/>
    <w:rsid w:val="00BF66AA"/>
    <w:rsid w:val="00C01F14"/>
    <w:rsid w:val="00C039BC"/>
    <w:rsid w:val="00C063E7"/>
    <w:rsid w:val="00C07493"/>
    <w:rsid w:val="00C13379"/>
    <w:rsid w:val="00C15B67"/>
    <w:rsid w:val="00C20675"/>
    <w:rsid w:val="00C226C1"/>
    <w:rsid w:val="00C26CFF"/>
    <w:rsid w:val="00C30AC5"/>
    <w:rsid w:val="00C311F3"/>
    <w:rsid w:val="00C33BE6"/>
    <w:rsid w:val="00C345EE"/>
    <w:rsid w:val="00C34B6B"/>
    <w:rsid w:val="00C4392B"/>
    <w:rsid w:val="00C46B48"/>
    <w:rsid w:val="00C525CE"/>
    <w:rsid w:val="00C5477D"/>
    <w:rsid w:val="00C5564B"/>
    <w:rsid w:val="00C63700"/>
    <w:rsid w:val="00C63804"/>
    <w:rsid w:val="00C63DFF"/>
    <w:rsid w:val="00C65883"/>
    <w:rsid w:val="00C71978"/>
    <w:rsid w:val="00C75C5B"/>
    <w:rsid w:val="00C76F2F"/>
    <w:rsid w:val="00C77AF5"/>
    <w:rsid w:val="00C77DE6"/>
    <w:rsid w:val="00C83796"/>
    <w:rsid w:val="00C85BBC"/>
    <w:rsid w:val="00C87060"/>
    <w:rsid w:val="00C87290"/>
    <w:rsid w:val="00C87C9F"/>
    <w:rsid w:val="00C90074"/>
    <w:rsid w:val="00C92646"/>
    <w:rsid w:val="00C96D71"/>
    <w:rsid w:val="00C97FD4"/>
    <w:rsid w:val="00CA07DD"/>
    <w:rsid w:val="00CA20D5"/>
    <w:rsid w:val="00CA3512"/>
    <w:rsid w:val="00CA527C"/>
    <w:rsid w:val="00CB09E1"/>
    <w:rsid w:val="00CB58CD"/>
    <w:rsid w:val="00CB5CBA"/>
    <w:rsid w:val="00CB6E37"/>
    <w:rsid w:val="00CB7868"/>
    <w:rsid w:val="00CC22D5"/>
    <w:rsid w:val="00CC40D4"/>
    <w:rsid w:val="00CC50F1"/>
    <w:rsid w:val="00CC7A96"/>
    <w:rsid w:val="00CD0B6A"/>
    <w:rsid w:val="00CD25DA"/>
    <w:rsid w:val="00CD2E0D"/>
    <w:rsid w:val="00CD30FC"/>
    <w:rsid w:val="00CD4108"/>
    <w:rsid w:val="00CD4E57"/>
    <w:rsid w:val="00CD6B9A"/>
    <w:rsid w:val="00CD6BF9"/>
    <w:rsid w:val="00CE0086"/>
    <w:rsid w:val="00CE7AA9"/>
    <w:rsid w:val="00CF6E61"/>
    <w:rsid w:val="00CF7C0F"/>
    <w:rsid w:val="00CF7E7F"/>
    <w:rsid w:val="00D0069C"/>
    <w:rsid w:val="00D00FBA"/>
    <w:rsid w:val="00D03FF4"/>
    <w:rsid w:val="00D04404"/>
    <w:rsid w:val="00D06125"/>
    <w:rsid w:val="00D14464"/>
    <w:rsid w:val="00D1593D"/>
    <w:rsid w:val="00D16698"/>
    <w:rsid w:val="00D20166"/>
    <w:rsid w:val="00D202E4"/>
    <w:rsid w:val="00D218AA"/>
    <w:rsid w:val="00D237F5"/>
    <w:rsid w:val="00D27FA3"/>
    <w:rsid w:val="00D307C2"/>
    <w:rsid w:val="00D312F6"/>
    <w:rsid w:val="00D31B47"/>
    <w:rsid w:val="00D3233B"/>
    <w:rsid w:val="00D33E24"/>
    <w:rsid w:val="00D37199"/>
    <w:rsid w:val="00D40417"/>
    <w:rsid w:val="00D44ED3"/>
    <w:rsid w:val="00D456AD"/>
    <w:rsid w:val="00D459E6"/>
    <w:rsid w:val="00D500BD"/>
    <w:rsid w:val="00D5728B"/>
    <w:rsid w:val="00D57778"/>
    <w:rsid w:val="00D620CD"/>
    <w:rsid w:val="00D625B7"/>
    <w:rsid w:val="00D6497B"/>
    <w:rsid w:val="00D65558"/>
    <w:rsid w:val="00D73246"/>
    <w:rsid w:val="00D7488A"/>
    <w:rsid w:val="00D82C9C"/>
    <w:rsid w:val="00D84834"/>
    <w:rsid w:val="00D86D6C"/>
    <w:rsid w:val="00D925F9"/>
    <w:rsid w:val="00D94A76"/>
    <w:rsid w:val="00D95A4F"/>
    <w:rsid w:val="00D95D26"/>
    <w:rsid w:val="00D97060"/>
    <w:rsid w:val="00D97C7D"/>
    <w:rsid w:val="00DA61BB"/>
    <w:rsid w:val="00DA7C2A"/>
    <w:rsid w:val="00DB433B"/>
    <w:rsid w:val="00DB49D7"/>
    <w:rsid w:val="00DB5587"/>
    <w:rsid w:val="00DC2D46"/>
    <w:rsid w:val="00DC2EDE"/>
    <w:rsid w:val="00DD5E6E"/>
    <w:rsid w:val="00DE10C2"/>
    <w:rsid w:val="00DE1F41"/>
    <w:rsid w:val="00DE2394"/>
    <w:rsid w:val="00DE2598"/>
    <w:rsid w:val="00DE29C1"/>
    <w:rsid w:val="00DE38D6"/>
    <w:rsid w:val="00DE48CA"/>
    <w:rsid w:val="00DE5C0D"/>
    <w:rsid w:val="00DE61DD"/>
    <w:rsid w:val="00DE682B"/>
    <w:rsid w:val="00DF0CBA"/>
    <w:rsid w:val="00DF220F"/>
    <w:rsid w:val="00DF5D0A"/>
    <w:rsid w:val="00DF60FE"/>
    <w:rsid w:val="00DF64B1"/>
    <w:rsid w:val="00DF6BD3"/>
    <w:rsid w:val="00DF7347"/>
    <w:rsid w:val="00E0464C"/>
    <w:rsid w:val="00E04B22"/>
    <w:rsid w:val="00E07988"/>
    <w:rsid w:val="00E145B0"/>
    <w:rsid w:val="00E217EC"/>
    <w:rsid w:val="00E2466A"/>
    <w:rsid w:val="00E31EFF"/>
    <w:rsid w:val="00E32398"/>
    <w:rsid w:val="00E34103"/>
    <w:rsid w:val="00E35229"/>
    <w:rsid w:val="00E36BAC"/>
    <w:rsid w:val="00E4128D"/>
    <w:rsid w:val="00E44207"/>
    <w:rsid w:val="00E45C3B"/>
    <w:rsid w:val="00E51182"/>
    <w:rsid w:val="00E51D62"/>
    <w:rsid w:val="00E61837"/>
    <w:rsid w:val="00E65744"/>
    <w:rsid w:val="00E722CF"/>
    <w:rsid w:val="00E765B3"/>
    <w:rsid w:val="00E806A2"/>
    <w:rsid w:val="00E81CDB"/>
    <w:rsid w:val="00E84D1E"/>
    <w:rsid w:val="00E92F2F"/>
    <w:rsid w:val="00E935DE"/>
    <w:rsid w:val="00E93D67"/>
    <w:rsid w:val="00E97CEE"/>
    <w:rsid w:val="00EB447D"/>
    <w:rsid w:val="00EB7DBE"/>
    <w:rsid w:val="00EC02F1"/>
    <w:rsid w:val="00EC1A26"/>
    <w:rsid w:val="00EC3D3A"/>
    <w:rsid w:val="00EC558F"/>
    <w:rsid w:val="00EC7E4C"/>
    <w:rsid w:val="00ED047F"/>
    <w:rsid w:val="00ED064A"/>
    <w:rsid w:val="00ED27BA"/>
    <w:rsid w:val="00ED3BD3"/>
    <w:rsid w:val="00ED7BE4"/>
    <w:rsid w:val="00EE7967"/>
    <w:rsid w:val="00EF2C45"/>
    <w:rsid w:val="00F001B2"/>
    <w:rsid w:val="00F00804"/>
    <w:rsid w:val="00F058B3"/>
    <w:rsid w:val="00F05E74"/>
    <w:rsid w:val="00F065E0"/>
    <w:rsid w:val="00F0781C"/>
    <w:rsid w:val="00F07EEB"/>
    <w:rsid w:val="00F111D1"/>
    <w:rsid w:val="00F11BF4"/>
    <w:rsid w:val="00F1215A"/>
    <w:rsid w:val="00F14D7D"/>
    <w:rsid w:val="00F15D08"/>
    <w:rsid w:val="00F1654D"/>
    <w:rsid w:val="00F22188"/>
    <w:rsid w:val="00F223B5"/>
    <w:rsid w:val="00F2436A"/>
    <w:rsid w:val="00F26172"/>
    <w:rsid w:val="00F331F7"/>
    <w:rsid w:val="00F33225"/>
    <w:rsid w:val="00F34D77"/>
    <w:rsid w:val="00F35636"/>
    <w:rsid w:val="00F36476"/>
    <w:rsid w:val="00F401A2"/>
    <w:rsid w:val="00F407E2"/>
    <w:rsid w:val="00F40ACE"/>
    <w:rsid w:val="00F418D7"/>
    <w:rsid w:val="00F41F3A"/>
    <w:rsid w:val="00F4590E"/>
    <w:rsid w:val="00F51137"/>
    <w:rsid w:val="00F521BE"/>
    <w:rsid w:val="00F52A23"/>
    <w:rsid w:val="00F56F8C"/>
    <w:rsid w:val="00F63C21"/>
    <w:rsid w:val="00F74BAA"/>
    <w:rsid w:val="00F755D2"/>
    <w:rsid w:val="00F763C1"/>
    <w:rsid w:val="00F77311"/>
    <w:rsid w:val="00F8073C"/>
    <w:rsid w:val="00F80C33"/>
    <w:rsid w:val="00F812BA"/>
    <w:rsid w:val="00F82F83"/>
    <w:rsid w:val="00F8385C"/>
    <w:rsid w:val="00F84059"/>
    <w:rsid w:val="00F85D07"/>
    <w:rsid w:val="00F9638D"/>
    <w:rsid w:val="00F969BC"/>
    <w:rsid w:val="00FA5CE2"/>
    <w:rsid w:val="00FA7120"/>
    <w:rsid w:val="00FB051F"/>
    <w:rsid w:val="00FB391E"/>
    <w:rsid w:val="00FB3F39"/>
    <w:rsid w:val="00FB631C"/>
    <w:rsid w:val="00FB65E3"/>
    <w:rsid w:val="00FC1809"/>
    <w:rsid w:val="00FC3975"/>
    <w:rsid w:val="00FC4729"/>
    <w:rsid w:val="00FC76E5"/>
    <w:rsid w:val="00FD6F4C"/>
    <w:rsid w:val="00FD7A84"/>
    <w:rsid w:val="00FE126D"/>
    <w:rsid w:val="00FE4DA6"/>
    <w:rsid w:val="00FE730B"/>
    <w:rsid w:val="00FF198E"/>
    <w:rsid w:val="00FF1A2D"/>
    <w:rsid w:val="00FF3BEC"/>
    <w:rsid w:val="00FF4CC0"/>
    <w:rsid w:val="00FF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8F86D"/>
  <w15:docId w15:val="{6D4005C9-F828-44C8-A2CD-5C92D643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6C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C40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0D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5D2"/>
    <w:pPr>
      <w:ind w:left="720"/>
      <w:contextualSpacing/>
    </w:pPr>
  </w:style>
  <w:style w:type="character" w:styleId="Emphasis">
    <w:name w:val="Emphasis"/>
    <w:basedOn w:val="DefaultParagraphFont"/>
    <w:uiPriority w:val="20"/>
    <w:qFormat/>
    <w:rsid w:val="00ED7BE4"/>
    <w:rPr>
      <w:i/>
      <w:iCs/>
    </w:rPr>
  </w:style>
  <w:style w:type="character" w:styleId="Hyperlink">
    <w:name w:val="Hyperlink"/>
    <w:basedOn w:val="DefaultParagraphFont"/>
    <w:uiPriority w:val="99"/>
    <w:unhideWhenUsed/>
    <w:rsid w:val="009869E0"/>
    <w:rPr>
      <w:color w:val="0563C1" w:themeColor="hyperlink"/>
      <w:u w:val="single"/>
    </w:rPr>
  </w:style>
  <w:style w:type="character" w:customStyle="1" w:styleId="UnresolvedMention1">
    <w:name w:val="Unresolved Mention1"/>
    <w:basedOn w:val="DefaultParagraphFont"/>
    <w:uiPriority w:val="99"/>
    <w:semiHidden/>
    <w:unhideWhenUsed/>
    <w:rsid w:val="009869E0"/>
    <w:rPr>
      <w:color w:val="605E5C"/>
      <w:shd w:val="clear" w:color="auto" w:fill="E1DFDD"/>
    </w:rPr>
  </w:style>
  <w:style w:type="paragraph" w:styleId="FootnoteText">
    <w:name w:val="footnote text"/>
    <w:basedOn w:val="Normal"/>
    <w:link w:val="FootnoteTextChar"/>
    <w:uiPriority w:val="99"/>
    <w:unhideWhenUsed/>
    <w:rsid w:val="00257334"/>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257334"/>
    <w:rPr>
      <w:rFonts w:eastAsia="Times New Roman" w:cs="Times New Roman"/>
      <w:sz w:val="20"/>
      <w:szCs w:val="20"/>
    </w:rPr>
  </w:style>
  <w:style w:type="character" w:styleId="FootnoteReference">
    <w:name w:val="footnote reference"/>
    <w:basedOn w:val="DefaultParagraphFont"/>
    <w:uiPriority w:val="99"/>
    <w:semiHidden/>
    <w:unhideWhenUsed/>
    <w:rsid w:val="00257334"/>
    <w:rPr>
      <w:rFonts w:cs="Times New Roman"/>
      <w:vertAlign w:val="superscript"/>
    </w:rPr>
  </w:style>
  <w:style w:type="character" w:styleId="CommentReference">
    <w:name w:val="annotation reference"/>
    <w:basedOn w:val="DefaultParagraphFont"/>
    <w:uiPriority w:val="99"/>
    <w:semiHidden/>
    <w:unhideWhenUsed/>
    <w:rsid w:val="001A666D"/>
    <w:rPr>
      <w:sz w:val="16"/>
      <w:szCs w:val="16"/>
    </w:rPr>
  </w:style>
  <w:style w:type="paragraph" w:styleId="CommentText">
    <w:name w:val="annotation text"/>
    <w:basedOn w:val="Normal"/>
    <w:link w:val="CommentTextChar"/>
    <w:uiPriority w:val="99"/>
    <w:unhideWhenUsed/>
    <w:rsid w:val="001A666D"/>
    <w:pPr>
      <w:spacing w:line="240" w:lineRule="auto"/>
    </w:pPr>
    <w:rPr>
      <w:sz w:val="20"/>
      <w:szCs w:val="20"/>
    </w:rPr>
  </w:style>
  <w:style w:type="character" w:customStyle="1" w:styleId="CommentTextChar">
    <w:name w:val="Comment Text Char"/>
    <w:basedOn w:val="DefaultParagraphFont"/>
    <w:link w:val="CommentText"/>
    <w:uiPriority w:val="99"/>
    <w:rsid w:val="001A666D"/>
    <w:rPr>
      <w:sz w:val="20"/>
      <w:szCs w:val="20"/>
    </w:rPr>
  </w:style>
  <w:style w:type="paragraph" w:styleId="CommentSubject">
    <w:name w:val="annotation subject"/>
    <w:basedOn w:val="CommentText"/>
    <w:next w:val="CommentText"/>
    <w:link w:val="CommentSubjectChar"/>
    <w:uiPriority w:val="99"/>
    <w:semiHidden/>
    <w:unhideWhenUsed/>
    <w:rsid w:val="001A666D"/>
    <w:rPr>
      <w:b/>
      <w:bCs/>
    </w:rPr>
  </w:style>
  <w:style w:type="character" w:customStyle="1" w:styleId="CommentSubjectChar">
    <w:name w:val="Comment Subject Char"/>
    <w:basedOn w:val="CommentTextChar"/>
    <w:link w:val="CommentSubject"/>
    <w:uiPriority w:val="99"/>
    <w:semiHidden/>
    <w:rsid w:val="001A666D"/>
    <w:rPr>
      <w:b/>
      <w:bCs/>
      <w:sz w:val="20"/>
      <w:szCs w:val="20"/>
    </w:rPr>
  </w:style>
  <w:style w:type="paragraph" w:styleId="BalloonText">
    <w:name w:val="Balloon Text"/>
    <w:basedOn w:val="Normal"/>
    <w:link w:val="BalloonTextChar"/>
    <w:uiPriority w:val="99"/>
    <w:semiHidden/>
    <w:unhideWhenUsed/>
    <w:rsid w:val="001A6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66D"/>
    <w:rPr>
      <w:rFonts w:ascii="Segoe UI" w:hAnsi="Segoe UI" w:cs="Segoe UI"/>
      <w:sz w:val="18"/>
      <w:szCs w:val="18"/>
    </w:rPr>
  </w:style>
  <w:style w:type="paragraph" w:styleId="Revision">
    <w:name w:val="Revision"/>
    <w:hidden/>
    <w:uiPriority w:val="99"/>
    <w:semiHidden/>
    <w:rsid w:val="000C7A05"/>
    <w:pPr>
      <w:spacing w:after="0" w:line="240" w:lineRule="auto"/>
    </w:pPr>
  </w:style>
  <w:style w:type="character" w:styleId="FollowedHyperlink">
    <w:name w:val="FollowedHyperlink"/>
    <w:basedOn w:val="DefaultParagraphFont"/>
    <w:uiPriority w:val="99"/>
    <w:semiHidden/>
    <w:unhideWhenUsed/>
    <w:rsid w:val="00E32398"/>
    <w:rPr>
      <w:color w:val="954F72" w:themeColor="followedHyperlink"/>
      <w:u w:val="single"/>
    </w:rPr>
  </w:style>
  <w:style w:type="paragraph" w:styleId="Header">
    <w:name w:val="header"/>
    <w:basedOn w:val="Normal"/>
    <w:link w:val="HeaderChar"/>
    <w:uiPriority w:val="99"/>
    <w:unhideWhenUsed/>
    <w:rsid w:val="00021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091"/>
  </w:style>
  <w:style w:type="paragraph" w:styleId="Footer">
    <w:name w:val="footer"/>
    <w:basedOn w:val="Normal"/>
    <w:link w:val="FooterChar"/>
    <w:uiPriority w:val="99"/>
    <w:unhideWhenUsed/>
    <w:rsid w:val="00021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091"/>
  </w:style>
  <w:style w:type="paragraph" w:customStyle="1" w:styleId="Default">
    <w:name w:val="Default"/>
    <w:rsid w:val="00243D5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56CB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56C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inuedpara">
    <w:name w:val="Continued para"/>
    <w:basedOn w:val="Normal"/>
    <w:qFormat/>
    <w:rsid w:val="00C65883"/>
    <w:pPr>
      <w:spacing w:after="240" w:line="240" w:lineRule="auto"/>
      <w:jc w:val="both"/>
    </w:pPr>
    <w:rPr>
      <w:rFonts w:ascii="Times New Roman" w:eastAsia="Calibri" w:hAnsi="Times New Roman" w:cs="Times New Roman"/>
      <w:sz w:val="24"/>
      <w:lang w:val="en-IN"/>
    </w:rPr>
  </w:style>
  <w:style w:type="character" w:styleId="Strong">
    <w:name w:val="Strong"/>
    <w:uiPriority w:val="22"/>
    <w:qFormat/>
    <w:rsid w:val="007528BD"/>
    <w:rPr>
      <w:b/>
      <w:bCs/>
    </w:rPr>
  </w:style>
  <w:style w:type="character" w:customStyle="1" w:styleId="UnresolvedMention2">
    <w:name w:val="Unresolved Mention2"/>
    <w:basedOn w:val="DefaultParagraphFont"/>
    <w:uiPriority w:val="99"/>
    <w:semiHidden/>
    <w:unhideWhenUsed/>
    <w:rsid w:val="00FB3F39"/>
    <w:rPr>
      <w:color w:val="605E5C"/>
      <w:shd w:val="clear" w:color="auto" w:fill="E1DFDD"/>
    </w:rPr>
  </w:style>
  <w:style w:type="character" w:styleId="UnresolvedMention">
    <w:name w:val="Unresolved Mention"/>
    <w:basedOn w:val="DefaultParagraphFont"/>
    <w:uiPriority w:val="99"/>
    <w:semiHidden/>
    <w:unhideWhenUsed/>
    <w:rsid w:val="001053CA"/>
    <w:rPr>
      <w:color w:val="605E5C"/>
      <w:shd w:val="clear" w:color="auto" w:fill="E1DFDD"/>
    </w:rPr>
  </w:style>
  <w:style w:type="paragraph" w:styleId="PlainText">
    <w:name w:val="Plain Text"/>
    <w:basedOn w:val="Normal"/>
    <w:link w:val="PlainTextChar"/>
    <w:uiPriority w:val="99"/>
    <w:semiHidden/>
    <w:unhideWhenUsed/>
    <w:rsid w:val="00A108CE"/>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A108CE"/>
    <w:rPr>
      <w:rFonts w:ascii="Calibri" w:eastAsia="Times New Roman" w:hAnsi="Calibri"/>
      <w:kern w:val="2"/>
      <w:szCs w:val="21"/>
      <w14:ligatures w14:val="standardContextual"/>
    </w:rPr>
  </w:style>
  <w:style w:type="character" w:customStyle="1" w:styleId="Heading2Char">
    <w:name w:val="Heading 2 Char"/>
    <w:basedOn w:val="DefaultParagraphFont"/>
    <w:link w:val="Heading2"/>
    <w:uiPriority w:val="9"/>
    <w:rsid w:val="00CC40D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0D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1269">
      <w:bodyDiv w:val="1"/>
      <w:marLeft w:val="0"/>
      <w:marRight w:val="0"/>
      <w:marTop w:val="0"/>
      <w:marBottom w:val="0"/>
      <w:divBdr>
        <w:top w:val="none" w:sz="0" w:space="0" w:color="auto"/>
        <w:left w:val="none" w:sz="0" w:space="0" w:color="auto"/>
        <w:bottom w:val="none" w:sz="0" w:space="0" w:color="auto"/>
        <w:right w:val="none" w:sz="0" w:space="0" w:color="auto"/>
      </w:divBdr>
    </w:div>
    <w:div w:id="216010120">
      <w:bodyDiv w:val="1"/>
      <w:marLeft w:val="0"/>
      <w:marRight w:val="0"/>
      <w:marTop w:val="0"/>
      <w:marBottom w:val="0"/>
      <w:divBdr>
        <w:top w:val="none" w:sz="0" w:space="0" w:color="auto"/>
        <w:left w:val="none" w:sz="0" w:space="0" w:color="auto"/>
        <w:bottom w:val="none" w:sz="0" w:space="0" w:color="auto"/>
        <w:right w:val="none" w:sz="0" w:space="0" w:color="auto"/>
      </w:divBdr>
    </w:div>
    <w:div w:id="260455284">
      <w:bodyDiv w:val="1"/>
      <w:marLeft w:val="0"/>
      <w:marRight w:val="0"/>
      <w:marTop w:val="0"/>
      <w:marBottom w:val="0"/>
      <w:divBdr>
        <w:top w:val="none" w:sz="0" w:space="0" w:color="auto"/>
        <w:left w:val="none" w:sz="0" w:space="0" w:color="auto"/>
        <w:bottom w:val="none" w:sz="0" w:space="0" w:color="auto"/>
        <w:right w:val="none" w:sz="0" w:space="0" w:color="auto"/>
      </w:divBdr>
    </w:div>
    <w:div w:id="290021195">
      <w:bodyDiv w:val="1"/>
      <w:marLeft w:val="0"/>
      <w:marRight w:val="0"/>
      <w:marTop w:val="0"/>
      <w:marBottom w:val="0"/>
      <w:divBdr>
        <w:top w:val="none" w:sz="0" w:space="0" w:color="auto"/>
        <w:left w:val="none" w:sz="0" w:space="0" w:color="auto"/>
        <w:bottom w:val="none" w:sz="0" w:space="0" w:color="auto"/>
        <w:right w:val="none" w:sz="0" w:space="0" w:color="auto"/>
      </w:divBdr>
    </w:div>
    <w:div w:id="366681139">
      <w:bodyDiv w:val="1"/>
      <w:marLeft w:val="0"/>
      <w:marRight w:val="0"/>
      <w:marTop w:val="0"/>
      <w:marBottom w:val="0"/>
      <w:divBdr>
        <w:top w:val="none" w:sz="0" w:space="0" w:color="auto"/>
        <w:left w:val="none" w:sz="0" w:space="0" w:color="auto"/>
        <w:bottom w:val="none" w:sz="0" w:space="0" w:color="auto"/>
        <w:right w:val="none" w:sz="0" w:space="0" w:color="auto"/>
      </w:divBdr>
    </w:div>
    <w:div w:id="573979715">
      <w:bodyDiv w:val="1"/>
      <w:marLeft w:val="0"/>
      <w:marRight w:val="0"/>
      <w:marTop w:val="0"/>
      <w:marBottom w:val="0"/>
      <w:divBdr>
        <w:top w:val="none" w:sz="0" w:space="0" w:color="auto"/>
        <w:left w:val="none" w:sz="0" w:space="0" w:color="auto"/>
        <w:bottom w:val="none" w:sz="0" w:space="0" w:color="auto"/>
        <w:right w:val="none" w:sz="0" w:space="0" w:color="auto"/>
      </w:divBdr>
    </w:div>
    <w:div w:id="608389193">
      <w:bodyDiv w:val="1"/>
      <w:marLeft w:val="0"/>
      <w:marRight w:val="0"/>
      <w:marTop w:val="0"/>
      <w:marBottom w:val="0"/>
      <w:divBdr>
        <w:top w:val="none" w:sz="0" w:space="0" w:color="auto"/>
        <w:left w:val="none" w:sz="0" w:space="0" w:color="auto"/>
        <w:bottom w:val="none" w:sz="0" w:space="0" w:color="auto"/>
        <w:right w:val="none" w:sz="0" w:space="0" w:color="auto"/>
      </w:divBdr>
    </w:div>
    <w:div w:id="652753917">
      <w:bodyDiv w:val="1"/>
      <w:marLeft w:val="0"/>
      <w:marRight w:val="0"/>
      <w:marTop w:val="0"/>
      <w:marBottom w:val="0"/>
      <w:divBdr>
        <w:top w:val="none" w:sz="0" w:space="0" w:color="auto"/>
        <w:left w:val="none" w:sz="0" w:space="0" w:color="auto"/>
        <w:bottom w:val="none" w:sz="0" w:space="0" w:color="auto"/>
        <w:right w:val="none" w:sz="0" w:space="0" w:color="auto"/>
      </w:divBdr>
    </w:div>
    <w:div w:id="682364961">
      <w:bodyDiv w:val="1"/>
      <w:marLeft w:val="0"/>
      <w:marRight w:val="0"/>
      <w:marTop w:val="0"/>
      <w:marBottom w:val="0"/>
      <w:divBdr>
        <w:top w:val="none" w:sz="0" w:space="0" w:color="auto"/>
        <w:left w:val="none" w:sz="0" w:space="0" w:color="auto"/>
        <w:bottom w:val="none" w:sz="0" w:space="0" w:color="auto"/>
        <w:right w:val="none" w:sz="0" w:space="0" w:color="auto"/>
      </w:divBdr>
    </w:div>
    <w:div w:id="736781612">
      <w:bodyDiv w:val="1"/>
      <w:marLeft w:val="0"/>
      <w:marRight w:val="0"/>
      <w:marTop w:val="0"/>
      <w:marBottom w:val="0"/>
      <w:divBdr>
        <w:top w:val="none" w:sz="0" w:space="0" w:color="auto"/>
        <w:left w:val="none" w:sz="0" w:space="0" w:color="auto"/>
        <w:bottom w:val="none" w:sz="0" w:space="0" w:color="auto"/>
        <w:right w:val="none" w:sz="0" w:space="0" w:color="auto"/>
      </w:divBdr>
    </w:div>
    <w:div w:id="938105051">
      <w:bodyDiv w:val="1"/>
      <w:marLeft w:val="0"/>
      <w:marRight w:val="0"/>
      <w:marTop w:val="0"/>
      <w:marBottom w:val="0"/>
      <w:divBdr>
        <w:top w:val="none" w:sz="0" w:space="0" w:color="auto"/>
        <w:left w:val="none" w:sz="0" w:space="0" w:color="auto"/>
        <w:bottom w:val="none" w:sz="0" w:space="0" w:color="auto"/>
        <w:right w:val="none" w:sz="0" w:space="0" w:color="auto"/>
      </w:divBdr>
    </w:div>
    <w:div w:id="961809206">
      <w:bodyDiv w:val="1"/>
      <w:marLeft w:val="0"/>
      <w:marRight w:val="0"/>
      <w:marTop w:val="0"/>
      <w:marBottom w:val="0"/>
      <w:divBdr>
        <w:top w:val="none" w:sz="0" w:space="0" w:color="auto"/>
        <w:left w:val="none" w:sz="0" w:space="0" w:color="auto"/>
        <w:bottom w:val="none" w:sz="0" w:space="0" w:color="auto"/>
        <w:right w:val="none" w:sz="0" w:space="0" w:color="auto"/>
      </w:divBdr>
    </w:div>
    <w:div w:id="1021079967">
      <w:bodyDiv w:val="1"/>
      <w:marLeft w:val="0"/>
      <w:marRight w:val="0"/>
      <w:marTop w:val="0"/>
      <w:marBottom w:val="0"/>
      <w:divBdr>
        <w:top w:val="none" w:sz="0" w:space="0" w:color="auto"/>
        <w:left w:val="none" w:sz="0" w:space="0" w:color="auto"/>
        <w:bottom w:val="none" w:sz="0" w:space="0" w:color="auto"/>
        <w:right w:val="none" w:sz="0" w:space="0" w:color="auto"/>
      </w:divBdr>
    </w:div>
    <w:div w:id="1030766098">
      <w:bodyDiv w:val="1"/>
      <w:marLeft w:val="0"/>
      <w:marRight w:val="0"/>
      <w:marTop w:val="0"/>
      <w:marBottom w:val="0"/>
      <w:divBdr>
        <w:top w:val="none" w:sz="0" w:space="0" w:color="auto"/>
        <w:left w:val="none" w:sz="0" w:space="0" w:color="auto"/>
        <w:bottom w:val="none" w:sz="0" w:space="0" w:color="auto"/>
        <w:right w:val="none" w:sz="0" w:space="0" w:color="auto"/>
      </w:divBdr>
    </w:div>
    <w:div w:id="1105615283">
      <w:bodyDiv w:val="1"/>
      <w:marLeft w:val="0"/>
      <w:marRight w:val="0"/>
      <w:marTop w:val="0"/>
      <w:marBottom w:val="0"/>
      <w:divBdr>
        <w:top w:val="none" w:sz="0" w:space="0" w:color="auto"/>
        <w:left w:val="none" w:sz="0" w:space="0" w:color="auto"/>
        <w:bottom w:val="none" w:sz="0" w:space="0" w:color="auto"/>
        <w:right w:val="none" w:sz="0" w:space="0" w:color="auto"/>
      </w:divBdr>
    </w:div>
    <w:div w:id="1177038424">
      <w:bodyDiv w:val="1"/>
      <w:marLeft w:val="0"/>
      <w:marRight w:val="0"/>
      <w:marTop w:val="0"/>
      <w:marBottom w:val="0"/>
      <w:divBdr>
        <w:top w:val="none" w:sz="0" w:space="0" w:color="auto"/>
        <w:left w:val="none" w:sz="0" w:space="0" w:color="auto"/>
        <w:bottom w:val="none" w:sz="0" w:space="0" w:color="auto"/>
        <w:right w:val="none" w:sz="0" w:space="0" w:color="auto"/>
      </w:divBdr>
    </w:div>
    <w:div w:id="1230966763">
      <w:bodyDiv w:val="1"/>
      <w:marLeft w:val="0"/>
      <w:marRight w:val="0"/>
      <w:marTop w:val="0"/>
      <w:marBottom w:val="0"/>
      <w:divBdr>
        <w:top w:val="none" w:sz="0" w:space="0" w:color="auto"/>
        <w:left w:val="none" w:sz="0" w:space="0" w:color="auto"/>
        <w:bottom w:val="none" w:sz="0" w:space="0" w:color="auto"/>
        <w:right w:val="none" w:sz="0" w:space="0" w:color="auto"/>
      </w:divBdr>
    </w:div>
    <w:div w:id="1432356497">
      <w:bodyDiv w:val="1"/>
      <w:marLeft w:val="0"/>
      <w:marRight w:val="0"/>
      <w:marTop w:val="0"/>
      <w:marBottom w:val="0"/>
      <w:divBdr>
        <w:top w:val="none" w:sz="0" w:space="0" w:color="auto"/>
        <w:left w:val="none" w:sz="0" w:space="0" w:color="auto"/>
        <w:bottom w:val="none" w:sz="0" w:space="0" w:color="auto"/>
        <w:right w:val="none" w:sz="0" w:space="0" w:color="auto"/>
      </w:divBdr>
    </w:div>
    <w:div w:id="1438789674">
      <w:bodyDiv w:val="1"/>
      <w:marLeft w:val="0"/>
      <w:marRight w:val="0"/>
      <w:marTop w:val="0"/>
      <w:marBottom w:val="0"/>
      <w:divBdr>
        <w:top w:val="none" w:sz="0" w:space="0" w:color="auto"/>
        <w:left w:val="none" w:sz="0" w:space="0" w:color="auto"/>
        <w:bottom w:val="none" w:sz="0" w:space="0" w:color="auto"/>
        <w:right w:val="none" w:sz="0" w:space="0" w:color="auto"/>
      </w:divBdr>
    </w:div>
    <w:div w:id="1483044030">
      <w:bodyDiv w:val="1"/>
      <w:marLeft w:val="0"/>
      <w:marRight w:val="0"/>
      <w:marTop w:val="0"/>
      <w:marBottom w:val="0"/>
      <w:divBdr>
        <w:top w:val="none" w:sz="0" w:space="0" w:color="auto"/>
        <w:left w:val="none" w:sz="0" w:space="0" w:color="auto"/>
        <w:bottom w:val="none" w:sz="0" w:space="0" w:color="auto"/>
        <w:right w:val="none" w:sz="0" w:space="0" w:color="auto"/>
      </w:divBdr>
    </w:div>
    <w:div w:id="1804036864">
      <w:bodyDiv w:val="1"/>
      <w:marLeft w:val="0"/>
      <w:marRight w:val="0"/>
      <w:marTop w:val="0"/>
      <w:marBottom w:val="0"/>
      <w:divBdr>
        <w:top w:val="none" w:sz="0" w:space="0" w:color="auto"/>
        <w:left w:val="none" w:sz="0" w:space="0" w:color="auto"/>
        <w:bottom w:val="none" w:sz="0" w:space="0" w:color="auto"/>
        <w:right w:val="none" w:sz="0" w:space="0" w:color="auto"/>
      </w:divBdr>
    </w:div>
    <w:div w:id="1804931753">
      <w:bodyDiv w:val="1"/>
      <w:marLeft w:val="0"/>
      <w:marRight w:val="0"/>
      <w:marTop w:val="0"/>
      <w:marBottom w:val="0"/>
      <w:divBdr>
        <w:top w:val="none" w:sz="0" w:space="0" w:color="auto"/>
        <w:left w:val="none" w:sz="0" w:space="0" w:color="auto"/>
        <w:bottom w:val="none" w:sz="0" w:space="0" w:color="auto"/>
        <w:right w:val="none" w:sz="0" w:space="0" w:color="auto"/>
      </w:divBdr>
    </w:div>
    <w:div w:id="1818181605">
      <w:bodyDiv w:val="1"/>
      <w:marLeft w:val="0"/>
      <w:marRight w:val="0"/>
      <w:marTop w:val="0"/>
      <w:marBottom w:val="0"/>
      <w:divBdr>
        <w:top w:val="none" w:sz="0" w:space="0" w:color="auto"/>
        <w:left w:val="none" w:sz="0" w:space="0" w:color="auto"/>
        <w:bottom w:val="none" w:sz="0" w:space="0" w:color="auto"/>
        <w:right w:val="none" w:sz="0" w:space="0" w:color="auto"/>
      </w:divBdr>
    </w:div>
    <w:div w:id="1838810311">
      <w:bodyDiv w:val="1"/>
      <w:marLeft w:val="0"/>
      <w:marRight w:val="0"/>
      <w:marTop w:val="0"/>
      <w:marBottom w:val="0"/>
      <w:divBdr>
        <w:top w:val="none" w:sz="0" w:space="0" w:color="auto"/>
        <w:left w:val="none" w:sz="0" w:space="0" w:color="auto"/>
        <w:bottom w:val="none" w:sz="0" w:space="0" w:color="auto"/>
        <w:right w:val="none" w:sz="0" w:space="0" w:color="auto"/>
      </w:divBdr>
    </w:div>
    <w:div w:id="1846478875">
      <w:bodyDiv w:val="1"/>
      <w:marLeft w:val="0"/>
      <w:marRight w:val="0"/>
      <w:marTop w:val="0"/>
      <w:marBottom w:val="0"/>
      <w:divBdr>
        <w:top w:val="none" w:sz="0" w:space="0" w:color="auto"/>
        <w:left w:val="none" w:sz="0" w:space="0" w:color="auto"/>
        <w:bottom w:val="none" w:sz="0" w:space="0" w:color="auto"/>
        <w:right w:val="none" w:sz="0" w:space="0" w:color="auto"/>
      </w:divBdr>
    </w:div>
    <w:div w:id="194191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camico.com" TargetMode="External"/><Relationship Id="rId13" Type="http://schemas.openxmlformats.org/officeDocument/2006/relationships/hyperlink" Target="https://www.fincen.gov/boi/Reference-materials" TargetMode="External"/><Relationship Id="rId18" Type="http://schemas.openxmlformats.org/officeDocument/2006/relationships/hyperlink" Target="https://www.fincen.gov/boi/newsro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incen.gov/boi/Reference-materials" TargetMode="External"/><Relationship Id="rId17" Type="http://schemas.openxmlformats.org/officeDocument/2006/relationships/hyperlink" Target="https://www.fincen.gov/boi/Reference-materials" TargetMode="External"/><Relationship Id="rId2" Type="http://schemas.openxmlformats.org/officeDocument/2006/relationships/numbering" Target="numbering.xml"/><Relationship Id="rId16" Type="http://schemas.openxmlformats.org/officeDocument/2006/relationships/hyperlink" Target="https://www.fincen.gov/boi/small-business-resou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cen.gov/boi/Reference-materials" TargetMode="External"/><Relationship Id="rId5" Type="http://schemas.openxmlformats.org/officeDocument/2006/relationships/webSettings" Target="webSettings.xml"/><Relationship Id="rId15" Type="http://schemas.openxmlformats.org/officeDocument/2006/relationships/hyperlink" Target="http://www.fincen.gov/boi-faqs" TargetMode="External"/><Relationship Id="rId10" Type="http://schemas.openxmlformats.org/officeDocument/2006/relationships/hyperlink" Target="https://www.fincen.gov/boi/Reference-materials" TargetMode="External"/><Relationship Id="rId19" Type="http://schemas.openxmlformats.org/officeDocument/2006/relationships/hyperlink" Target="https://www.aicpa-cima.com/resources/landing/beneficial-ownership-information-boi-reporting" TargetMode="External"/><Relationship Id="rId4" Type="http://schemas.openxmlformats.org/officeDocument/2006/relationships/settings" Target="settings.xml"/><Relationship Id="rId9" Type="http://schemas.openxmlformats.org/officeDocument/2006/relationships/hyperlink" Target="https://www.camico.com" TargetMode="External"/><Relationship Id="rId14" Type="http://schemas.openxmlformats.org/officeDocument/2006/relationships/hyperlink" Target="https://www.fincen.gov/boi/Reference-material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incen.gov/boi/Reference-materials" TargetMode="External"/><Relationship Id="rId2" Type="http://schemas.openxmlformats.org/officeDocument/2006/relationships/hyperlink" Target="https://www.fincen.gov/boi/Reference-materials" TargetMode="External"/><Relationship Id="rId1" Type="http://schemas.openxmlformats.org/officeDocument/2006/relationships/hyperlink" Target="https://www.fincen.gov/boi-faqs" TargetMode="External"/><Relationship Id="rId6" Type="http://schemas.openxmlformats.org/officeDocument/2006/relationships/hyperlink" Target="https://www.federalregister.gov/d/2022-21020/p-223" TargetMode="External"/><Relationship Id="rId5" Type="http://schemas.openxmlformats.org/officeDocument/2006/relationships/hyperlink" Target="https://www.govinfo.gov/content/pkg/USCODE-2022-title31/pdf/USCODE-2022-title31-subtitleIV-chap53-subchapII-sec5336.pdf" TargetMode="External"/><Relationship Id="rId4" Type="http://schemas.openxmlformats.org/officeDocument/2006/relationships/hyperlink" Target="https://www.fincen.gov/boi/Reference-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D9430-1204-43B0-85B3-DAF37BDF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3619</Words>
  <Characters>20631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CAMICO Corporate Transparency Act Frequently Asked Questions</vt:lpstr>
    </vt:vector>
  </TitlesOfParts>
  <Company>CAMICO</Company>
  <LinksUpToDate>false</LinksUpToDate>
  <CharactersWithSpaces>24202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CAMICO Corporate Transparency Act Frequently Asked Questions</dc:title>
  <dc:creator>CAMICO</dc:creator>
  <dc:description>© CAMICO. All rights reserved.</dc:description>
  <cp:lastModifiedBy>Peggy Daly</cp:lastModifiedBy>
  <cp:revision>8</cp:revision>
  <cp:lastPrinted>2023-12-07T23:43:00Z</cp:lastPrinted>
  <dcterms:created xsi:type="dcterms:W3CDTF">2024-02-08T01:02:00Z</dcterms:created>
  <dcterms:modified xsi:type="dcterms:W3CDTF">2024-02-15T23:27:00Z</dcterms:modified>
</cp:coreProperties>
</file>